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703C"/>
          <w:sz w:val="52"/>
        </w:rPr>
        <w:t>PSO Lubricants</w:t>
      </w:r>
    </w:p>
    <w:p>
      <w:pPr>
        <w:spacing w:after="80"/>
        <w:jc w:val="center"/>
      </w:pPr>
      <w:r>
        <w:rPr>
          <w:b/>
          <w:sz w:val="32"/>
        </w:rPr>
        <w:t>Competitive Pricing Intelligence Report</w:t>
      </w:r>
    </w:p>
    <w:p>
      <w:pPr>
        <w:spacing w:after="120"/>
        <w:jc w:val="center"/>
      </w:pPr>
      <w:r>
        <w:rPr>
          <w:b w:val="0"/>
          <w:color w:val="808080"/>
          <w:sz w:val="20"/>
        </w:rPr>
        <w:t>Generated: 07 July 2026</w:t>
      </w:r>
    </w:p>
    <w:p>
      <w:pPr>
        <w:spacing w:after="120"/>
        <w:jc w:val="center"/>
      </w:pPr>
      <w:r>
        <w:rPr>
          <w:b w:val="0"/>
          <w:color w:val="808080"/>
          <w:sz w:val="20"/>
        </w:rPr>
        <w:t>Data source: Daraz.pk | Products scraped: 578</w:t>
      </w:r>
    </w:p>
    <w:p>
      <w:r>
        <w:br w:type="page"/>
      </w:r>
    </w:p>
    <w:p>
      <w:pPr>
        <w:pStyle w:val="Heading1"/>
      </w:pPr>
      <w:r>
        <w:rPr>
          <w:color w:val="00703C"/>
        </w:rPr>
        <w:t>1. Executive Summary</w:t>
      </w:r>
    </w:p>
    <w:p>
      <w:pPr>
        <w:pBdr>
          <w:bottom w:val="single" w:sz="6" w:space="1" w:color="00703C"/>
        </w:pBdr>
        <w:spacing w:after="120"/>
      </w:pPr>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This report benchmarks PSO Carient's pricing against 17 competing brands across 8 grades for petrol and diesel engine oils. All prices are median observed retail prices in PKR per litre on Daraz.pk.</w:t>
            </w:r>
          </w:p>
        </w:tc>
      </w:tr>
    </w:tbl>
    <w:p/>
    <w:p>
      <w:pPr>
        <w:pStyle w:val="ListBullet"/>
        <w:spacing w:after="60"/>
        <w:ind w:left="283"/>
      </w:pPr>
      <w:r>
        <w:rPr>
          <w:sz w:val="21"/>
        </w:rPr>
        <w:t>Grades where PSO is priced BELOW market median (&gt;10%): 10W-30 (-66%) — potential margin capture opportunity</w:t>
      </w:r>
    </w:p>
    <w:p>
      <w:pPr>
        <w:pStyle w:val="ListBullet"/>
        <w:spacing w:after="60"/>
        <w:ind w:left="283"/>
      </w:pPr>
      <w:r>
        <w:rPr>
          <w:sz w:val="21"/>
        </w:rPr>
        <w:t>Grades priced at market: 0W-20, 20W-50</w:t>
      </w:r>
    </w:p>
    <w:p/>
    <w:p>
      <w:pPr>
        <w:pStyle w:val="Heading1"/>
      </w:pPr>
      <w:r>
        <w:rPr>
          <w:color w:val="00703C"/>
        </w:rPr>
        <w:t>2. Market Coverage</w:t>
      </w:r>
    </w:p>
    <w:p>
      <w:pPr>
        <w:pBdr>
          <w:bottom w:val="single" w:sz="6" w:space="1" w:color="00703C"/>
        </w:pBdr>
        <w:spacing w:after="120"/>
      </w:pPr>
    </w:p>
    <w:p>
      <w:pPr>
        <w:spacing w:after="120"/>
        <w:jc w:val="left"/>
      </w:pPr>
      <w:r>
        <w:rPr>
          <w:b/>
          <w:sz w:val="22"/>
        </w:rPr>
        <w:t>Total listings analysed: 578</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703C"/>
          </w:tcPr>
          <w:p>
            <w:r>
              <w:rPr>
                <w:b/>
                <w:color w:val="FFFFFF"/>
                <w:sz w:val="20"/>
              </w:rPr>
              <w:t>Brand</w:t>
            </w:r>
          </w:p>
        </w:tc>
        <w:tc>
          <w:tcPr>
            <w:tcW w:type="dxa" w:w="2880"/>
            <w:shd w:val="clear" w:color="auto" w:fill="00703C"/>
          </w:tcPr>
          <w:p>
            <w:r>
              <w:rPr>
                <w:b/>
                <w:color w:val="FFFFFF"/>
                <w:sz w:val="20"/>
              </w:rPr>
              <w:t>Listings</w:t>
            </w:r>
          </w:p>
        </w:tc>
        <w:tc>
          <w:tcPr>
            <w:tcW w:type="dxa" w:w="2880"/>
            <w:shd w:val="clear" w:color="auto" w:fill="00703C"/>
          </w:tcPr>
          <w:p>
            <w:r>
              <w:rPr>
                <w:b/>
                <w:color w:val="FFFFFF"/>
                <w:sz w:val="20"/>
              </w:rPr>
              <w:t>Own / Competitor</w:t>
            </w:r>
          </w:p>
        </w:tc>
      </w:tr>
      <w:tr>
        <w:tc>
          <w:tcPr>
            <w:tcW w:type="dxa" w:w="2880"/>
          </w:tcPr>
          <w:p>
            <w:r>
              <w:t>Caltex Delo</w:t>
            </w:r>
          </w:p>
        </w:tc>
        <w:tc>
          <w:tcPr>
            <w:tcW w:type="dxa" w:w="2880"/>
          </w:tcPr>
          <w:p>
            <w:r>
              <w:t>13</w:t>
            </w:r>
          </w:p>
        </w:tc>
        <w:tc>
          <w:tcPr>
            <w:tcW w:type="dxa" w:w="2880"/>
          </w:tcPr>
          <w:p>
            <w:r>
              <w:t>Competitor</w:t>
            </w:r>
          </w:p>
        </w:tc>
      </w:tr>
      <w:tr>
        <w:tc>
          <w:tcPr>
            <w:tcW w:type="dxa" w:w="2880"/>
          </w:tcPr>
          <w:p>
            <w:r>
              <w:t>Caltex Havoline</w:t>
            </w:r>
          </w:p>
        </w:tc>
        <w:tc>
          <w:tcPr>
            <w:tcW w:type="dxa" w:w="2880"/>
          </w:tcPr>
          <w:p>
            <w:r>
              <w:t>12</w:t>
            </w:r>
          </w:p>
        </w:tc>
        <w:tc>
          <w:tcPr>
            <w:tcW w:type="dxa" w:w="2880"/>
          </w:tcPr>
          <w:p>
            <w:r>
              <w:t>Competitor</w:t>
            </w:r>
          </w:p>
        </w:tc>
      </w:tr>
      <w:tr>
        <w:tc>
          <w:tcPr>
            <w:tcW w:type="dxa" w:w="2880"/>
          </w:tcPr>
          <w:p>
            <w:r>
              <w:t>Kixx</w:t>
            </w:r>
          </w:p>
        </w:tc>
        <w:tc>
          <w:tcPr>
            <w:tcW w:type="dxa" w:w="2880"/>
          </w:tcPr>
          <w:p>
            <w:r>
              <w:t>55</w:t>
            </w:r>
          </w:p>
        </w:tc>
        <w:tc>
          <w:tcPr>
            <w:tcW w:type="dxa" w:w="2880"/>
          </w:tcPr>
          <w:p>
            <w:r>
              <w:t>Competitor</w:t>
            </w:r>
          </w:p>
        </w:tc>
      </w:tr>
      <w:tr>
        <w:tc>
          <w:tcPr>
            <w:tcW w:type="dxa" w:w="2880"/>
          </w:tcPr>
          <w:p>
            <w:r>
              <w:t>Kixx G1</w:t>
            </w:r>
          </w:p>
        </w:tc>
        <w:tc>
          <w:tcPr>
            <w:tcW w:type="dxa" w:w="2880"/>
          </w:tcPr>
          <w:p>
            <w:r>
              <w:t>44</w:t>
            </w:r>
          </w:p>
        </w:tc>
        <w:tc>
          <w:tcPr>
            <w:tcW w:type="dxa" w:w="2880"/>
          </w:tcPr>
          <w:p>
            <w:r>
              <w:t>Competitor</w:t>
            </w:r>
          </w:p>
        </w:tc>
      </w:tr>
      <w:tr>
        <w:tc>
          <w:tcPr>
            <w:tcW w:type="dxa" w:w="2880"/>
          </w:tcPr>
          <w:p>
            <w:r>
              <w:t>Kixx PAO</w:t>
            </w:r>
          </w:p>
        </w:tc>
        <w:tc>
          <w:tcPr>
            <w:tcW w:type="dxa" w:w="2880"/>
          </w:tcPr>
          <w:p>
            <w:r>
              <w:t>5</w:t>
            </w:r>
          </w:p>
        </w:tc>
        <w:tc>
          <w:tcPr>
            <w:tcW w:type="dxa" w:w="2880"/>
          </w:tcPr>
          <w:p>
            <w:r>
              <w:t>Competitor</w:t>
            </w:r>
          </w:p>
        </w:tc>
      </w:tr>
      <w:tr>
        <w:tc>
          <w:tcPr>
            <w:tcW w:type="dxa" w:w="2880"/>
            <w:shd w:val="clear" w:color="auto" w:fill="D4EDDA"/>
          </w:tcPr>
          <w:p>
            <w:r>
              <w:t>PSO</w:t>
            </w:r>
          </w:p>
        </w:tc>
        <w:tc>
          <w:tcPr>
            <w:tcW w:type="dxa" w:w="2880"/>
            <w:shd w:val="clear" w:color="auto" w:fill="D4EDDA"/>
          </w:tcPr>
          <w:p>
            <w:r>
              <w:t>1</w:t>
            </w:r>
          </w:p>
        </w:tc>
        <w:tc>
          <w:tcPr>
            <w:tcW w:type="dxa" w:w="2880"/>
            <w:shd w:val="clear" w:color="auto" w:fill="D4EDDA"/>
          </w:tcPr>
          <w:p>
            <w:r>
              <w:t>PSO (Own)</w:t>
            </w:r>
          </w:p>
        </w:tc>
      </w:tr>
      <w:tr>
        <w:tc>
          <w:tcPr>
            <w:tcW w:type="dxa" w:w="2880"/>
            <w:shd w:val="clear" w:color="auto" w:fill="D4EDDA"/>
          </w:tcPr>
          <w:p>
            <w:r>
              <w:t>PSO Carient</w:t>
            </w:r>
          </w:p>
        </w:tc>
        <w:tc>
          <w:tcPr>
            <w:tcW w:type="dxa" w:w="2880"/>
            <w:shd w:val="clear" w:color="auto" w:fill="D4EDDA"/>
          </w:tcPr>
          <w:p>
            <w:r>
              <w:t>2</w:t>
            </w:r>
          </w:p>
        </w:tc>
        <w:tc>
          <w:tcPr>
            <w:tcW w:type="dxa" w:w="2880"/>
            <w:shd w:val="clear" w:color="auto" w:fill="D4EDDA"/>
          </w:tcPr>
          <w:p>
            <w:r>
              <w:t>PSO (Own)</w:t>
            </w:r>
          </w:p>
        </w:tc>
      </w:tr>
      <w:tr>
        <w:tc>
          <w:tcPr>
            <w:tcW w:type="dxa" w:w="2880"/>
            <w:shd w:val="clear" w:color="auto" w:fill="D4EDDA"/>
          </w:tcPr>
          <w:p>
            <w:r>
              <w:t>PSO Carient Plus</w:t>
            </w:r>
          </w:p>
        </w:tc>
        <w:tc>
          <w:tcPr>
            <w:tcW w:type="dxa" w:w="2880"/>
            <w:shd w:val="clear" w:color="auto" w:fill="D4EDDA"/>
          </w:tcPr>
          <w:p>
            <w:r>
              <w:t>3</w:t>
            </w:r>
          </w:p>
        </w:tc>
        <w:tc>
          <w:tcPr>
            <w:tcW w:type="dxa" w:w="2880"/>
            <w:shd w:val="clear" w:color="auto" w:fill="D4EDDA"/>
          </w:tcPr>
          <w:p>
            <w:r>
              <w:t>PSO (Own)</w:t>
            </w:r>
          </w:p>
        </w:tc>
      </w:tr>
      <w:tr>
        <w:tc>
          <w:tcPr>
            <w:tcW w:type="dxa" w:w="2880"/>
            <w:shd w:val="clear" w:color="auto" w:fill="D4EDDA"/>
          </w:tcPr>
          <w:p>
            <w:r>
              <w:t>PSO Carient Ultra</w:t>
            </w:r>
          </w:p>
        </w:tc>
        <w:tc>
          <w:tcPr>
            <w:tcW w:type="dxa" w:w="2880"/>
            <w:shd w:val="clear" w:color="auto" w:fill="D4EDDA"/>
          </w:tcPr>
          <w:p>
            <w:r>
              <w:t>2</w:t>
            </w:r>
          </w:p>
        </w:tc>
        <w:tc>
          <w:tcPr>
            <w:tcW w:type="dxa" w:w="2880"/>
            <w:shd w:val="clear" w:color="auto" w:fill="D4EDDA"/>
          </w:tcPr>
          <w:p>
            <w:r>
              <w:t>PSO (Own)</w:t>
            </w:r>
          </w:p>
        </w:tc>
      </w:tr>
      <w:tr>
        <w:tc>
          <w:tcPr>
            <w:tcW w:type="dxa" w:w="2880"/>
          </w:tcPr>
          <w:p>
            <w:r>
              <w:t>Shell</w:t>
            </w:r>
          </w:p>
        </w:tc>
        <w:tc>
          <w:tcPr>
            <w:tcW w:type="dxa" w:w="2880"/>
          </w:tcPr>
          <w:p>
            <w:r>
              <w:t>5</w:t>
            </w:r>
          </w:p>
        </w:tc>
        <w:tc>
          <w:tcPr>
            <w:tcW w:type="dxa" w:w="2880"/>
          </w:tcPr>
          <w:p>
            <w:r>
              <w:t>Competitor</w:t>
            </w:r>
          </w:p>
        </w:tc>
      </w:tr>
      <w:tr>
        <w:tc>
          <w:tcPr>
            <w:tcW w:type="dxa" w:w="2880"/>
          </w:tcPr>
          <w:p>
            <w:r>
              <w:t>Shell Helix HX7</w:t>
            </w:r>
          </w:p>
        </w:tc>
        <w:tc>
          <w:tcPr>
            <w:tcW w:type="dxa" w:w="2880"/>
          </w:tcPr>
          <w:p>
            <w:r>
              <w:t>2</w:t>
            </w:r>
          </w:p>
        </w:tc>
        <w:tc>
          <w:tcPr>
            <w:tcW w:type="dxa" w:w="2880"/>
          </w:tcPr>
          <w:p>
            <w:r>
              <w:t>Competitor</w:t>
            </w:r>
          </w:p>
        </w:tc>
      </w:tr>
      <w:tr>
        <w:tc>
          <w:tcPr>
            <w:tcW w:type="dxa" w:w="2880"/>
          </w:tcPr>
          <w:p>
            <w:r>
              <w:t>Shell Helix Ultra</w:t>
            </w:r>
          </w:p>
        </w:tc>
        <w:tc>
          <w:tcPr>
            <w:tcW w:type="dxa" w:w="2880"/>
          </w:tcPr>
          <w:p>
            <w:r>
              <w:t>1</w:t>
            </w:r>
          </w:p>
        </w:tc>
        <w:tc>
          <w:tcPr>
            <w:tcW w:type="dxa" w:w="2880"/>
          </w:tcPr>
          <w:p>
            <w:r>
              <w:t>Competitor</w:t>
            </w:r>
          </w:p>
        </w:tc>
      </w:tr>
      <w:tr>
        <w:tc>
          <w:tcPr>
            <w:tcW w:type="dxa" w:w="2880"/>
          </w:tcPr>
          <w:p>
            <w:r>
              <w:t>Shell Rimula</w:t>
            </w:r>
          </w:p>
        </w:tc>
        <w:tc>
          <w:tcPr>
            <w:tcW w:type="dxa" w:w="2880"/>
          </w:tcPr>
          <w:p>
            <w:r>
              <w:t>3</w:t>
            </w:r>
          </w:p>
        </w:tc>
        <w:tc>
          <w:tcPr>
            <w:tcW w:type="dxa" w:w="2880"/>
          </w:tcPr>
          <w:p>
            <w:r>
              <w:t>Competitor</w:t>
            </w:r>
          </w:p>
        </w:tc>
      </w:tr>
      <w:tr>
        <w:tc>
          <w:tcPr>
            <w:tcW w:type="dxa" w:w="2880"/>
          </w:tcPr>
          <w:p>
            <w:r>
              <w:t>Total</w:t>
            </w:r>
          </w:p>
        </w:tc>
        <w:tc>
          <w:tcPr>
            <w:tcW w:type="dxa" w:w="2880"/>
          </w:tcPr>
          <w:p>
            <w:r>
              <w:t>16</w:t>
            </w:r>
          </w:p>
        </w:tc>
        <w:tc>
          <w:tcPr>
            <w:tcW w:type="dxa" w:w="2880"/>
          </w:tcPr>
          <w:p>
            <w:r>
              <w:t>Competitor</w:t>
            </w:r>
          </w:p>
        </w:tc>
      </w:tr>
      <w:tr>
        <w:tc>
          <w:tcPr>
            <w:tcW w:type="dxa" w:w="2880"/>
          </w:tcPr>
          <w:p>
            <w:r>
              <w:t>Total Quartz</w:t>
            </w:r>
          </w:p>
        </w:tc>
        <w:tc>
          <w:tcPr>
            <w:tcW w:type="dxa" w:w="2880"/>
          </w:tcPr>
          <w:p>
            <w:r>
              <w:t>2</w:t>
            </w:r>
          </w:p>
        </w:tc>
        <w:tc>
          <w:tcPr>
            <w:tcW w:type="dxa" w:w="2880"/>
          </w:tcPr>
          <w:p>
            <w:r>
              <w:t>Competitor</w:t>
            </w:r>
          </w:p>
        </w:tc>
      </w:tr>
      <w:tr>
        <w:tc>
          <w:tcPr>
            <w:tcW w:type="dxa" w:w="2880"/>
          </w:tcPr>
          <w:p>
            <w:r>
              <w:t>Total Quartz 5000</w:t>
            </w:r>
          </w:p>
        </w:tc>
        <w:tc>
          <w:tcPr>
            <w:tcW w:type="dxa" w:w="2880"/>
          </w:tcPr>
          <w:p>
            <w:r>
              <w:t>1</w:t>
            </w:r>
          </w:p>
        </w:tc>
        <w:tc>
          <w:tcPr>
            <w:tcW w:type="dxa" w:w="2880"/>
          </w:tcPr>
          <w:p>
            <w:r>
              <w:t>Competitor</w:t>
            </w:r>
          </w:p>
        </w:tc>
      </w:tr>
      <w:tr>
        <w:tc>
          <w:tcPr>
            <w:tcW w:type="dxa" w:w="2880"/>
          </w:tcPr>
          <w:p>
            <w:r>
              <w:t>Total Quartz 9000</w:t>
            </w:r>
          </w:p>
        </w:tc>
        <w:tc>
          <w:tcPr>
            <w:tcW w:type="dxa" w:w="2880"/>
          </w:tcPr>
          <w:p>
            <w:r>
              <w:t>8</w:t>
            </w:r>
          </w:p>
        </w:tc>
        <w:tc>
          <w:tcPr>
            <w:tcW w:type="dxa" w:w="2880"/>
          </w:tcPr>
          <w:p>
            <w:r>
              <w:t>Competitor</w:t>
            </w:r>
          </w:p>
        </w:tc>
      </w:tr>
      <w:tr>
        <w:tc>
          <w:tcPr>
            <w:tcW w:type="dxa" w:w="2880"/>
          </w:tcPr>
          <w:p>
            <w:r>
              <w:t>ZIC</w:t>
            </w:r>
          </w:p>
        </w:tc>
        <w:tc>
          <w:tcPr>
            <w:tcW w:type="dxa" w:w="2880"/>
          </w:tcPr>
          <w:p>
            <w:r>
              <w:t>50</w:t>
            </w:r>
          </w:p>
        </w:tc>
        <w:tc>
          <w:tcPr>
            <w:tcW w:type="dxa" w:w="2880"/>
          </w:tcPr>
          <w:p>
            <w:r>
              <w:t>Competitor</w:t>
            </w:r>
          </w:p>
        </w:tc>
      </w:tr>
      <w:tr>
        <w:tc>
          <w:tcPr>
            <w:tcW w:type="dxa" w:w="2880"/>
          </w:tcPr>
          <w:p>
            <w:r>
              <w:t>ZIC X5</w:t>
            </w:r>
          </w:p>
        </w:tc>
        <w:tc>
          <w:tcPr>
            <w:tcW w:type="dxa" w:w="2880"/>
          </w:tcPr>
          <w:p>
            <w:r>
              <w:t>54</w:t>
            </w:r>
          </w:p>
        </w:tc>
        <w:tc>
          <w:tcPr>
            <w:tcW w:type="dxa" w:w="2880"/>
          </w:tcPr>
          <w:p>
            <w:r>
              <w:t>Competitor</w:t>
            </w:r>
          </w:p>
        </w:tc>
      </w:tr>
      <w:tr>
        <w:tc>
          <w:tcPr>
            <w:tcW w:type="dxa" w:w="2880"/>
          </w:tcPr>
          <w:p>
            <w:r>
              <w:t>ZIC X7</w:t>
            </w:r>
          </w:p>
        </w:tc>
        <w:tc>
          <w:tcPr>
            <w:tcW w:type="dxa" w:w="2880"/>
          </w:tcPr>
          <w:p>
            <w:r>
              <w:t>89</w:t>
            </w:r>
          </w:p>
        </w:tc>
        <w:tc>
          <w:tcPr>
            <w:tcW w:type="dxa" w:w="2880"/>
          </w:tcPr>
          <w:p>
            <w:r>
              <w:t>Competitor</w:t>
            </w:r>
          </w:p>
        </w:tc>
      </w:tr>
      <w:tr>
        <w:tc>
          <w:tcPr>
            <w:tcW w:type="dxa" w:w="2880"/>
          </w:tcPr>
          <w:p>
            <w:r>
              <w:t>ZIC X9</w:t>
            </w:r>
          </w:p>
        </w:tc>
        <w:tc>
          <w:tcPr>
            <w:tcW w:type="dxa" w:w="2880"/>
          </w:tcPr>
          <w:p>
            <w:r>
              <w:t>3</w:t>
            </w:r>
          </w:p>
        </w:tc>
        <w:tc>
          <w:tcPr>
            <w:tcW w:type="dxa" w:w="2880"/>
          </w:tcPr>
          <w:p>
            <w:r>
              <w:t>Competitor</w:t>
            </w:r>
          </w:p>
        </w:tc>
      </w:tr>
    </w:tbl>
    <w:p/>
    <w:p>
      <w:pPr>
        <w:pStyle w:val="Heading1"/>
      </w:pPr>
      <w:r>
        <w:rPr>
          <w:color w:val="00703C"/>
        </w:rPr>
        <w:t>3. Competitive Price Analysis</w:t>
      </w:r>
    </w:p>
    <w:p>
      <w:pPr>
        <w:pBdr>
          <w:bottom w:val="single" w:sz="6" w:space="1" w:color="00703C"/>
        </w:pBdr>
        <w:spacing w:after="120"/>
      </w:pPr>
    </w:p>
    <w:p>
      <w:r>
        <w:drawing>
          <wp:inline xmlns:a="http://schemas.openxmlformats.org/drawingml/2006/main" xmlns:pic="http://schemas.openxmlformats.org/drawingml/2006/picture">
            <wp:extent cx="5943600" cy="1269782"/>
            <wp:docPr id="1" name="Picture 1"/>
            <wp:cNvGraphicFramePr>
              <a:graphicFrameLocks noChangeAspect="1"/>
            </wp:cNvGraphicFramePr>
            <a:graphic>
              <a:graphicData uri="http://schemas.openxmlformats.org/drawingml/2006/picture">
                <pic:pic>
                  <pic:nvPicPr>
                    <pic:cNvPr id="0" name="01_price_matrix_pcmo.png"/>
                    <pic:cNvPicPr/>
                  </pic:nvPicPr>
                  <pic:blipFill>
                    <a:blip r:embed="rId9"/>
                    <a:stretch>
                      <a:fillRect/>
                    </a:stretch>
                  </pic:blipFill>
                  <pic:spPr>
                    <a:xfrm>
                      <a:off x="0" y="0"/>
                      <a:ext cx="5943600" cy="1269782"/>
                    </a:xfrm>
                    <a:prstGeom prst="rect"/>
                  </pic:spPr>
                </pic:pic>
              </a:graphicData>
            </a:graphic>
          </wp:inline>
        </w:drawing>
      </w:r>
    </w:p>
    <w:p>
      <w:pPr>
        <w:jc w:val="center"/>
      </w:pPr>
      <w:r>
        <w:rPr>
          <w:i/>
          <w:color w:val="606060"/>
          <w:sz w:val="18"/>
        </w:rPr>
        <w:t>Figure 1: Price/L Distribution — Petrol Engine Oils (PCMO) by Grade</w:t>
      </w:r>
    </w:p>
    <w:p/>
    <w:p>
      <w:r>
        <w:drawing>
          <wp:inline xmlns:a="http://schemas.openxmlformats.org/drawingml/2006/main" xmlns:pic="http://schemas.openxmlformats.org/drawingml/2006/picture">
            <wp:extent cx="5943600" cy="2229471"/>
            <wp:docPr id="2" name="Picture 2"/>
            <wp:cNvGraphicFramePr>
              <a:graphicFrameLocks noChangeAspect="1"/>
            </wp:cNvGraphicFramePr>
            <a:graphic>
              <a:graphicData uri="http://schemas.openxmlformats.org/drawingml/2006/picture">
                <pic:pic>
                  <pic:nvPicPr>
                    <pic:cNvPr id="0" name="01_price_matrix_hdeo.png"/>
                    <pic:cNvPicPr/>
                  </pic:nvPicPr>
                  <pic:blipFill>
                    <a:blip r:embed="rId10"/>
                    <a:stretch>
                      <a:fillRect/>
                    </a:stretch>
                  </pic:blipFill>
                  <pic:spPr>
                    <a:xfrm>
                      <a:off x="0" y="0"/>
                      <a:ext cx="5943600" cy="2229471"/>
                    </a:xfrm>
                    <a:prstGeom prst="rect"/>
                  </pic:spPr>
                </pic:pic>
              </a:graphicData>
            </a:graphic>
          </wp:inline>
        </w:drawing>
      </w:r>
    </w:p>
    <w:p>
      <w:pPr>
        <w:jc w:val="center"/>
      </w:pPr>
      <w:r>
        <w:rPr>
          <w:i/>
          <w:color w:val="606060"/>
          <w:sz w:val="18"/>
        </w:rPr>
        <w:t>Figure 2: Price/L Distribution — Diesel Engine Oils (HDEO) by Grade</w:t>
      </w:r>
    </w:p>
    <w:p/>
    <w:p>
      <w:r>
        <w:drawing>
          <wp:inline xmlns:a="http://schemas.openxmlformats.org/drawingml/2006/main" xmlns:pic="http://schemas.openxmlformats.org/drawingml/2006/picture">
            <wp:extent cx="5943600" cy="3545305"/>
            <wp:docPr id="3" name="Picture 3"/>
            <wp:cNvGraphicFramePr>
              <a:graphicFrameLocks noChangeAspect="1"/>
            </wp:cNvGraphicFramePr>
            <a:graphic>
              <a:graphicData uri="http://schemas.openxmlformats.org/drawingml/2006/picture">
                <pic:pic>
                  <pic:nvPicPr>
                    <pic:cNvPr id="0" name="02_tier_gaps.png"/>
                    <pic:cNvPicPr/>
                  </pic:nvPicPr>
                  <pic:blipFill>
                    <a:blip r:embed="rId11"/>
                    <a:stretch>
                      <a:fillRect/>
                    </a:stretch>
                  </pic:blipFill>
                  <pic:spPr>
                    <a:xfrm>
                      <a:off x="0" y="0"/>
                      <a:ext cx="5943600" cy="3545305"/>
                    </a:xfrm>
                    <a:prstGeom prst="rect"/>
                  </pic:spPr>
                </pic:pic>
              </a:graphicData>
            </a:graphic>
          </wp:inline>
        </w:drawing>
      </w:r>
    </w:p>
    <w:p>
      <w:pPr>
        <w:jc w:val="center"/>
      </w:pPr>
      <w:r>
        <w:rPr>
          <w:i/>
          <w:color w:val="606060"/>
          <w:sz w:val="18"/>
        </w:rPr>
        <w:t>Figure 3: Tier Price Positioning — PSO vs Market Median</w:t>
      </w:r>
    </w:p>
    <w:p/>
    <w:p>
      <w:r>
        <w:drawing>
          <wp:inline xmlns:a="http://schemas.openxmlformats.org/drawingml/2006/main" xmlns:pic="http://schemas.openxmlformats.org/drawingml/2006/picture">
            <wp:extent cx="5943600" cy="2537877"/>
            <wp:docPr id="4" name="Picture 4"/>
            <wp:cNvGraphicFramePr>
              <a:graphicFrameLocks noChangeAspect="1"/>
            </wp:cNvGraphicFramePr>
            <a:graphic>
              <a:graphicData uri="http://schemas.openxmlformats.org/drawingml/2006/picture">
                <pic:pic>
                  <pic:nvPicPr>
                    <pic:cNvPr id="0" name="03_pack_premium_curve.png"/>
                    <pic:cNvPicPr/>
                  </pic:nvPicPr>
                  <pic:blipFill>
                    <a:blip r:embed="rId12"/>
                    <a:stretch>
                      <a:fillRect/>
                    </a:stretch>
                  </pic:blipFill>
                  <pic:spPr>
                    <a:xfrm>
                      <a:off x="0" y="0"/>
                      <a:ext cx="5943600" cy="2537877"/>
                    </a:xfrm>
                    <a:prstGeom prst="rect"/>
                  </pic:spPr>
                </pic:pic>
              </a:graphicData>
            </a:graphic>
          </wp:inline>
        </w:drawing>
      </w:r>
    </w:p>
    <w:p>
      <w:pPr>
        <w:jc w:val="center"/>
      </w:pPr>
      <w:r>
        <w:rPr>
          <w:i/>
          <w:color w:val="606060"/>
          <w:sz w:val="18"/>
        </w:rPr>
        <w:t>Figure 4: Pack Size Premium Curve — Price/L by Pack Size</w:t>
      </w:r>
    </w:p>
    <w:p/>
    <w:p>
      <w:r>
        <w:drawing>
          <wp:inline xmlns:a="http://schemas.openxmlformats.org/drawingml/2006/main" xmlns:pic="http://schemas.openxmlformats.org/drawingml/2006/picture">
            <wp:extent cx="5943600" cy="2943465"/>
            <wp:docPr id="5" name="Picture 5"/>
            <wp:cNvGraphicFramePr>
              <a:graphicFrameLocks noChangeAspect="1"/>
            </wp:cNvGraphicFramePr>
            <a:graphic>
              <a:graphicData uri="http://schemas.openxmlformats.org/drawingml/2006/picture">
                <pic:pic>
                  <pic:nvPicPr>
                    <pic:cNvPr id="0" name="04_price_index.png"/>
                    <pic:cNvPicPr/>
                  </pic:nvPicPr>
                  <pic:blipFill>
                    <a:blip r:embed="rId13"/>
                    <a:stretch>
                      <a:fillRect/>
                    </a:stretch>
                  </pic:blipFill>
                  <pic:spPr>
                    <a:xfrm>
                      <a:off x="0" y="0"/>
                      <a:ext cx="5943600" cy="2943465"/>
                    </a:xfrm>
                    <a:prstGeom prst="rect"/>
                  </pic:spPr>
                </pic:pic>
              </a:graphicData>
            </a:graphic>
          </wp:inline>
        </w:drawing>
      </w:r>
    </w:p>
    <w:p>
      <w:pPr>
        <w:jc w:val="center"/>
      </w:pPr>
      <w:r>
        <w:rPr>
          <w:i/>
          <w:color w:val="606060"/>
          <w:sz w:val="18"/>
        </w:rPr>
        <w:t>Figure 5: Price Index (PSO = 100) by Grade</w:t>
      </w:r>
    </w:p>
    <w:p/>
    <w:p>
      <w:r>
        <w:drawing>
          <wp:inline xmlns:a="http://schemas.openxmlformats.org/drawingml/2006/main" xmlns:pic="http://schemas.openxmlformats.org/drawingml/2006/picture">
            <wp:extent cx="5943600" cy="7794476"/>
            <wp:docPr id="6" name="Picture 6"/>
            <wp:cNvGraphicFramePr>
              <a:graphicFrameLocks noChangeAspect="1"/>
            </wp:cNvGraphicFramePr>
            <a:graphic>
              <a:graphicData uri="http://schemas.openxmlformats.org/drawingml/2006/picture">
                <pic:pic>
                  <pic:nvPicPr>
                    <pic:cNvPr id="0" name="05_price_heatmap.png"/>
                    <pic:cNvPicPr/>
                  </pic:nvPicPr>
                  <pic:blipFill>
                    <a:blip r:embed="rId14"/>
                    <a:stretch>
                      <a:fillRect/>
                    </a:stretch>
                  </pic:blipFill>
                  <pic:spPr>
                    <a:xfrm>
                      <a:off x="0" y="0"/>
                      <a:ext cx="5943600" cy="7794476"/>
                    </a:xfrm>
                    <a:prstGeom prst="rect"/>
                  </pic:spPr>
                </pic:pic>
              </a:graphicData>
            </a:graphic>
          </wp:inline>
        </w:drawing>
      </w:r>
    </w:p>
    <w:p>
      <w:pPr>
        <w:jc w:val="center"/>
      </w:pPr>
      <w:r>
        <w:rPr>
          <w:i/>
          <w:color w:val="606060"/>
          <w:sz w:val="18"/>
        </w:rPr>
        <w:t>Figure 6: Full Price Heatmap — Brand x Grade</w:t>
      </w:r>
    </w:p>
    <w:p/>
    <w:p>
      <w:pPr>
        <w:pStyle w:val="Heading1"/>
      </w:pPr>
      <w:r>
        <w:rPr>
          <w:color w:val="00703C"/>
        </w:rPr>
        <w:t>4. Grade-Level Pricing Findings</w:t>
      </w:r>
    </w:p>
    <w:p>
      <w:pPr>
        <w:pBdr>
          <w:bottom w:val="single" w:sz="6" w:space="1" w:color="00703C"/>
        </w:pBdr>
        <w:spacing w:after="120"/>
      </w:pPr>
    </w:p>
    <w:p>
      <w:pPr>
        <w:pStyle w:val="Heading2"/>
      </w:pPr>
      <w:r>
        <w:rPr>
          <w:color w:val="00703C"/>
        </w:rPr>
        <w:t>Grade: 0W-20</w:t>
      </w:r>
    </w:p>
    <w:p>
      <w:pPr>
        <w:spacing w:after="120"/>
        <w:jc w:val="left"/>
      </w:pPr>
      <w:r>
        <w:rPr>
          <w:b w:val="0"/>
          <w:sz w:val="21"/>
        </w:rPr>
        <w:t>PSO median price/L: Rs 3,150  |  Range: Rs 3,150 – Rs 3,150</w:t>
      </w:r>
    </w:p>
    <w:p>
      <w:pPr>
        <w:spacing w:after="120"/>
        <w:jc w:val="left"/>
      </w:pPr>
      <w:r>
        <w:rPr>
          <w:b w:val="0"/>
          <w:sz w:val="21"/>
        </w:rPr>
        <w:t>Market median price/L: Rs 3,375  |  Range: Rs 0 – Rs 4,012</w:t>
      </w:r>
    </w:p>
    <w:p>
      <w:pPr>
        <w:spacing w:after="120"/>
        <w:jc w:val="left"/>
      </w:pPr>
      <w:r>
        <w:rPr>
          <w:b w:val="0"/>
          <w:sz w:val="21"/>
        </w:rPr>
        <w:t>Cheapest competitor: nan @ Rs 0/L</w:t>
      </w:r>
    </w:p>
    <w:p>
      <w:pPr>
        <w:spacing w:after="120"/>
        <w:jc w:val="left"/>
      </w:pPr>
      <w:r>
        <w:rPr>
          <w:b w:val="0"/>
          <w:sz w:val="21"/>
        </w:rPr>
        <w:t>Most expensive: Kixx G1 @ Rs 4,012/L</w:t>
      </w:r>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PSO is within 10% of market median for 0W-20 — priced competitively.</w:t>
            </w:r>
          </w:p>
        </w:tc>
      </w:tr>
    </w:tbl>
    <w:p/>
    <w:p/>
    <w:p>
      <w:pPr>
        <w:pStyle w:val="Heading2"/>
      </w:pPr>
      <w:r>
        <w:rPr>
          <w:color w:val="00703C"/>
        </w:rPr>
        <w:t>Grade: 10W-30</w:t>
      </w:r>
    </w:p>
    <w:p>
      <w:pPr>
        <w:spacing w:after="120"/>
        <w:jc w:val="left"/>
      </w:pPr>
      <w:r>
        <w:rPr>
          <w:b w:val="0"/>
          <w:sz w:val="21"/>
        </w:rPr>
        <w:t>PSO median price/L: Rs 512  |  Range: Rs 0 – Rs 1,023</w:t>
      </w:r>
    </w:p>
    <w:p>
      <w:pPr>
        <w:spacing w:after="120"/>
        <w:jc w:val="left"/>
      </w:pPr>
      <w:r>
        <w:rPr>
          <w:b w:val="0"/>
          <w:sz w:val="21"/>
        </w:rPr>
        <w:t>Market median price/L: Rs 1,500  |  Range: Rs 1,000 – Rs 1,875</w:t>
      </w:r>
    </w:p>
    <w:p>
      <w:pPr>
        <w:spacing w:after="120"/>
        <w:jc w:val="left"/>
      </w:pPr>
      <w:r>
        <w:rPr>
          <w:b w:val="0"/>
          <w:sz w:val="21"/>
        </w:rPr>
        <w:t>Cheapest competitor: nan @ Rs 1,000/L</w:t>
      </w:r>
    </w:p>
    <w:p>
      <w:pPr>
        <w:spacing w:after="120"/>
        <w:jc w:val="left"/>
      </w:pPr>
      <w:r>
        <w:rPr>
          <w:b w:val="0"/>
          <w:sz w:val="21"/>
        </w:rPr>
        <w:t>Most expensive: nan @ Rs 1,875/L</w:t>
      </w:r>
    </w:p>
    <w:tbl>
      <w:tblPr>
        <w:tblStyle w:val="TableGrid"/>
        <w:tblW w:type="auto" w:w="0"/>
        <w:tblLook w:firstColumn="1" w:firstRow="1" w:lastColumn="0" w:lastRow="0" w:noHBand="0" w:noVBand="1" w:val="04A0"/>
      </w:tblPr>
      <w:tblGrid>
        <w:gridCol w:w="8640"/>
      </w:tblGrid>
      <w:tr>
        <w:tc>
          <w:tcPr>
            <w:tcW w:type="dxa" w:w="8640"/>
            <w:shd w:val="clear" w:color="auto" w:fill="D4EDDA"/>
          </w:tcPr>
          <w:p>
            <w:r>
              <w:rPr>
                <w:b w:val="0"/>
                <w:sz w:val="21"/>
              </w:rPr>
              <w:t>PSO is 65.9% below market median for 10W-30. Scope to increase price without losing position.</w:t>
            </w:r>
          </w:p>
        </w:tc>
      </w:tr>
    </w:tbl>
    <w:p/>
    <w:p/>
    <w:p>
      <w:pPr>
        <w:pStyle w:val="Heading2"/>
      </w:pPr>
      <w:r>
        <w:rPr>
          <w:color w:val="00703C"/>
        </w:rPr>
        <w:t>Grade: 10W-40</w:t>
      </w:r>
    </w:p>
    <w:p>
      <w:pPr>
        <w:spacing w:after="120"/>
        <w:jc w:val="left"/>
      </w:pPr>
      <w:r>
        <w:rPr>
          <w:b w:val="0"/>
          <w:sz w:val="21"/>
        </w:rPr>
        <w:t>Market median price/L: Rs 1,066  |  Range: Rs 909 – Rs 2,887</w:t>
      </w:r>
    </w:p>
    <w:p>
      <w:pPr>
        <w:spacing w:after="120"/>
        <w:jc w:val="left"/>
      </w:pPr>
      <w:r>
        <w:rPr>
          <w:b w:val="0"/>
          <w:sz w:val="21"/>
        </w:rPr>
        <w:t>Cheapest competitor: Shell @ Rs 909/L</w:t>
      </w:r>
    </w:p>
    <w:p>
      <w:pPr>
        <w:spacing w:after="120"/>
        <w:jc w:val="left"/>
      </w:pPr>
      <w:r>
        <w:rPr>
          <w:b w:val="0"/>
          <w:sz w:val="21"/>
        </w:rPr>
        <w:t>Most expensive: nan @ Rs 2,887/L</w:t>
      </w:r>
    </w:p>
    <w:p/>
    <w:p>
      <w:pPr>
        <w:pStyle w:val="Heading2"/>
      </w:pPr>
      <w:r>
        <w:rPr>
          <w:color w:val="00703C"/>
        </w:rPr>
        <w:t>Grade: 15W-40</w:t>
      </w:r>
    </w:p>
    <w:p>
      <w:pPr>
        <w:spacing w:after="120"/>
        <w:jc w:val="left"/>
      </w:pPr>
      <w:r>
        <w:rPr>
          <w:b w:val="0"/>
          <w:sz w:val="21"/>
        </w:rPr>
        <w:t>Market median price/L: Rs 1,266  |  Range: Rs 0 – Rs 2,262</w:t>
      </w:r>
    </w:p>
    <w:p>
      <w:pPr>
        <w:spacing w:after="120"/>
        <w:jc w:val="left"/>
      </w:pPr>
      <w:r>
        <w:rPr>
          <w:b w:val="0"/>
          <w:sz w:val="21"/>
        </w:rPr>
        <w:t>Cheapest competitor: Caltex Delo @ Rs 0/L</w:t>
      </w:r>
    </w:p>
    <w:p>
      <w:pPr>
        <w:spacing w:after="120"/>
        <w:jc w:val="left"/>
      </w:pPr>
      <w:r>
        <w:rPr>
          <w:b w:val="0"/>
          <w:sz w:val="21"/>
        </w:rPr>
        <w:t>Most expensive: Caltex Delo @ Rs 2,262/L</w:t>
      </w:r>
    </w:p>
    <w:p/>
    <w:p>
      <w:pPr>
        <w:pStyle w:val="Heading2"/>
      </w:pPr>
      <w:r>
        <w:rPr>
          <w:color w:val="00703C"/>
        </w:rPr>
        <w:t>Grade: 20W-50</w:t>
      </w:r>
    </w:p>
    <w:p>
      <w:pPr>
        <w:spacing w:after="120"/>
        <w:jc w:val="left"/>
      </w:pPr>
      <w:r>
        <w:rPr>
          <w:b w:val="0"/>
          <w:sz w:val="21"/>
        </w:rPr>
        <w:t>PSO median price/L: Rs 1,070  |  Range: Rs 0 – Rs 1,183</w:t>
      </w:r>
    </w:p>
    <w:p>
      <w:pPr>
        <w:spacing w:after="120"/>
        <w:jc w:val="left"/>
      </w:pPr>
      <w:r>
        <w:rPr>
          <w:b w:val="0"/>
          <w:sz w:val="21"/>
        </w:rPr>
        <w:t>Market median price/L: Rs 1,076  |  Range: Rs 0 – Rs 11,143</w:t>
      </w:r>
    </w:p>
    <w:p>
      <w:pPr>
        <w:spacing w:after="120"/>
        <w:jc w:val="left"/>
      </w:pPr>
      <w:r>
        <w:rPr>
          <w:b w:val="0"/>
          <w:sz w:val="21"/>
        </w:rPr>
        <w:t>Cheapest competitor: nan @ Rs 0/L</w:t>
      </w:r>
    </w:p>
    <w:p>
      <w:pPr>
        <w:spacing w:after="120"/>
        <w:jc w:val="left"/>
      </w:pPr>
      <w:r>
        <w:rPr>
          <w:b w:val="0"/>
          <w:sz w:val="21"/>
        </w:rPr>
        <w:t>Most expensive: nan @ Rs 11,143/L</w:t>
      </w:r>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PSO is within 10% of market median for 20W-50 — priced competitively.</w:t>
            </w:r>
          </w:p>
        </w:tc>
      </w:tr>
    </w:tbl>
    <w:p/>
    <w:p/>
    <w:p>
      <w:pPr>
        <w:pStyle w:val="Heading2"/>
      </w:pPr>
      <w:r>
        <w:rPr>
          <w:color w:val="00703C"/>
        </w:rPr>
        <w:t>Grade: 5W-20</w:t>
      </w:r>
    </w:p>
    <w:p>
      <w:pPr>
        <w:spacing w:after="120"/>
        <w:jc w:val="left"/>
      </w:pPr>
      <w:r>
        <w:rPr>
          <w:b w:val="0"/>
          <w:sz w:val="21"/>
        </w:rPr>
        <w:t>Market median price/L: Rs 1,900  |  Range: Rs 1,833 – Rs 2,400</w:t>
      </w:r>
    </w:p>
    <w:p>
      <w:pPr>
        <w:spacing w:after="120"/>
        <w:jc w:val="left"/>
      </w:pPr>
      <w:r>
        <w:rPr>
          <w:b w:val="0"/>
          <w:sz w:val="21"/>
        </w:rPr>
        <w:t>Cheapest competitor: ZIC @ Rs 1,833/L</w:t>
      </w:r>
    </w:p>
    <w:p>
      <w:pPr>
        <w:spacing w:after="120"/>
        <w:jc w:val="left"/>
      </w:pPr>
      <w:r>
        <w:rPr>
          <w:b w:val="0"/>
          <w:sz w:val="21"/>
        </w:rPr>
        <w:t>Most expensive: ZIC X7 @ Rs 2,400/L</w:t>
      </w:r>
    </w:p>
    <w:p/>
    <w:p>
      <w:pPr>
        <w:pStyle w:val="Heading2"/>
      </w:pPr>
      <w:r>
        <w:rPr>
          <w:color w:val="00703C"/>
        </w:rPr>
        <w:t>Grade: 5W-30</w:t>
      </w:r>
    </w:p>
    <w:p>
      <w:pPr>
        <w:spacing w:after="120"/>
        <w:jc w:val="left"/>
      </w:pPr>
      <w:r>
        <w:rPr>
          <w:b w:val="0"/>
          <w:sz w:val="21"/>
        </w:rPr>
        <w:t>Market median price/L: Rs 1,130  |  Range: Rs 0 – Rs 5,650</w:t>
      </w:r>
    </w:p>
    <w:p>
      <w:pPr>
        <w:spacing w:after="120"/>
        <w:jc w:val="left"/>
      </w:pPr>
      <w:r>
        <w:rPr>
          <w:b w:val="0"/>
          <w:sz w:val="21"/>
        </w:rPr>
        <w:t>Cheapest competitor: nan @ Rs 0/L</w:t>
      </w:r>
    </w:p>
    <w:p>
      <w:pPr>
        <w:spacing w:after="120"/>
        <w:jc w:val="left"/>
      </w:pPr>
      <w:r>
        <w:rPr>
          <w:b w:val="0"/>
          <w:sz w:val="21"/>
        </w:rPr>
        <w:t>Most expensive: nan @ Rs 5,650/L</w:t>
      </w:r>
    </w:p>
    <w:p/>
    <w:p>
      <w:pPr>
        <w:pStyle w:val="Heading2"/>
      </w:pPr>
      <w:r>
        <w:rPr>
          <w:color w:val="00703C"/>
        </w:rPr>
        <w:t>Grade: 5W-40</w:t>
      </w:r>
    </w:p>
    <w:p>
      <w:pPr>
        <w:spacing w:after="120"/>
        <w:jc w:val="left"/>
      </w:pPr>
      <w:r>
        <w:rPr>
          <w:b w:val="0"/>
          <w:sz w:val="21"/>
        </w:rPr>
        <w:t>Market median price/L: Rs 3,412  |  Range: Rs 0 – Rs 5,650</w:t>
      </w:r>
    </w:p>
    <w:p>
      <w:pPr>
        <w:spacing w:after="120"/>
        <w:jc w:val="left"/>
      </w:pPr>
      <w:r>
        <w:rPr>
          <w:b w:val="0"/>
          <w:sz w:val="21"/>
        </w:rPr>
        <w:t>Cheapest competitor: nan @ Rs 0/L</w:t>
      </w:r>
    </w:p>
    <w:p>
      <w:pPr>
        <w:spacing w:after="120"/>
        <w:jc w:val="left"/>
      </w:pPr>
      <w:r>
        <w:rPr>
          <w:b w:val="0"/>
          <w:sz w:val="21"/>
        </w:rPr>
        <w:t>Most expensive: nan @ Rs 5,650/L</w:t>
      </w:r>
    </w:p>
    <w:p/>
    <w:p>
      <w:pPr>
        <w:pStyle w:val="Heading1"/>
      </w:pPr>
      <w:r>
        <w:rPr>
          <w:color w:val="00703C"/>
        </w:rPr>
        <w:t>5. Pricing Strategy Recommendations</w:t>
      </w:r>
    </w:p>
    <w:p>
      <w:pPr>
        <w:pBdr>
          <w:bottom w:val="single" w:sz="6" w:space="1" w:color="00703C"/>
        </w:pBdr>
        <w:spacing w:after="120"/>
      </w:pPr>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val="0"/>
                <w:sz w:val="21"/>
              </w:rPr>
              <w:t>Recommendations are derived entirely from observed market prices. PSO's cost structure, channel margins, and strategic objectives should be overlaid before finalising any list price changes.</w:t>
            </w:r>
          </w:p>
        </w:tc>
      </w:tr>
    </w:tbl>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1. Anchor pricing to the 4L pack</w:t>
              <w:br/>
              <w:t>The 4L/5L pack is the market reference for workshops. Set this as the anchor and derive 1L (premium uplift) and 10L+ (discount) from it. Ensures pack-price architecture is legible to buyers.</w:t>
            </w:r>
          </w:p>
        </w:tc>
      </w:tr>
    </w:tbl>
    <w:p/>
    <w:p/>
    <w:tbl>
      <w:tblPr>
        <w:tblStyle w:val="TableGrid"/>
        <w:tblW w:type="auto" w:w="0"/>
        <w:tblLook w:firstColumn="1" w:firstRow="1" w:lastColumn="0" w:lastRow="0" w:noHBand="0" w:noVBand="1" w:val="04A0"/>
      </w:tblPr>
      <w:tblGrid>
        <w:gridCol w:w="8640"/>
      </w:tblGrid>
      <w:tr>
        <w:tc>
          <w:tcPr>
            <w:tcW w:type="dxa" w:w="8640"/>
            <w:shd w:val="clear" w:color="auto" w:fill="D4EDDA"/>
          </w:tcPr>
          <w:p>
            <w:r>
              <w:rPr>
                <w:b w:val="0"/>
                <w:sz w:val="21"/>
              </w:rPr>
              <w:t>2. Widen the Ultra-to-SPRO price gap</w:t>
              <w:br/>
              <w:t>If the gap between Carient Ultra and SPRO is less than 35-40%, consumers perceive low differentiation and trade down in recessions. International practice (Shell, Castrol) maintains 2.5-4x gap across the full tier ladder.</w:t>
            </w:r>
          </w:p>
        </w:tc>
      </w:tr>
    </w:tbl>
    <w:p/>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3. Price 5W-30 at a premium to 10W-40</w:t>
              <w:br/>
              <w:t>5W-30 is a modern, fuel-economy grade requiring Group III base oil. It should command 15-25% premium vs 10W-40 across all brands. If PSO's spread is narrower, it signals a pricing gap.</w:t>
            </w:r>
          </w:p>
        </w:tc>
      </w:tr>
    </w:tbl>
    <w:p/>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val="0"/>
                <w:sz w:val="21"/>
              </w:rPr>
              <w:t>4. Match ZIC/Kixx for imported brand positioning</w:t>
              <w:br/>
              <w:t>Imported brands (ZIC, Kixx, Equimoli) often undercut on price while claiming import quality perception. PSO should price Carient FS at or slightly below ZIC X7 equivalent to compete on value, not just brand.</w:t>
            </w:r>
          </w:p>
        </w:tc>
      </w:tr>
    </w:tbl>
    <w:p/>
    <w:p/>
    <w:tbl>
      <w:tblPr>
        <w:tblStyle w:val="TableGrid"/>
        <w:tblW w:type="auto" w:w="0"/>
        <w:tblLook w:firstColumn="1" w:firstRow="1" w:lastColumn="0" w:lastRow="0" w:noHBand="0" w:noVBand="1" w:val="04A0"/>
      </w:tblPr>
      <w:tblGrid>
        <w:gridCol w:w="8640"/>
      </w:tblGrid>
      <w:tr>
        <w:tc>
          <w:tcPr>
            <w:tcW w:type="dxa" w:w="8640"/>
            <w:shd w:val="clear" w:color="auto" w:fill="D4EDDA"/>
          </w:tcPr>
          <w:p>
            <w:r>
              <w:rPr>
                <w:b w:val="0"/>
                <w:sz w:val="21"/>
              </w:rPr>
              <w:t>5. Review DEO 15W-40 drum pricing vs retail</w:t>
              <w:br/>
              <w:t>210L drum price/L should be 25-35% below 4L retail. If the gap is narrower, fleet buyers have little incentive to commit to bulk contracts vs spot retail purchase.</w:t>
            </w:r>
          </w:p>
        </w:tc>
      </w:tr>
    </w:tbl>
    <w:p/>
    <w:p/>
    <w:tbl>
      <w:tblPr>
        <w:tblStyle w:val="TableGrid"/>
        <w:tblW w:type="auto" w:w="0"/>
        <w:tblLook w:firstColumn="1" w:firstRow="1" w:lastColumn="0" w:lastRow="0" w:noHBand="0" w:noVBand="1" w:val="04A0"/>
      </w:tblPr>
      <w:tblGrid>
        <w:gridCol w:w="8640"/>
      </w:tblGrid>
      <w:tr>
        <w:tc>
          <w:tcPr>
            <w:tcW w:type="dxa" w:w="8640"/>
            <w:shd w:val="clear" w:color="auto" w:fill="D1ECF1"/>
          </w:tcPr>
          <w:p>
            <w:r>
              <w:rPr>
                <w:b w:val="0"/>
                <w:sz w:val="21"/>
              </w:rPr>
              <w:t>6. Run quarterly scrape cadence</w:t>
              <w:br/>
              <w:t>Competitor prices on Daraz shift during Ramadan, Eid, budget cycles, and base oil import cost changes. A quarterly scrape run will surface these movements before PSO's list price cycle.</w:t>
            </w:r>
          </w:p>
        </w:tc>
      </w:tr>
    </w:tbl>
    <w:p/>
    <w:p/>
    <w:tbl>
      <w:tblPr>
        <w:tblStyle w:val="TableGrid"/>
        <w:tblW w:type="auto" w:w="0"/>
        <w:tblLook w:firstColumn="1" w:firstRow="1" w:lastColumn="0" w:lastRow="0" w:noHBand="0" w:noVBand="1" w:val="04A0"/>
      </w:tblPr>
      <w:tblGrid>
        <w:gridCol w:w="8640"/>
      </w:tblGrid>
      <w:tr>
        <w:tc>
          <w:tcPr>
            <w:tcW w:type="dxa" w:w="8640"/>
            <w:shd w:val="clear" w:color="auto" w:fill="D4EDDA"/>
          </w:tcPr>
          <w:p>
            <w:r>
              <w:rPr>
                <w:b w:val="0"/>
                <w:sz w:val="21"/>
              </w:rPr>
              <w:t>7. Populate own-brand listings on Daraz</w:t>
              <w:br/>
              <w:t>If PSO Carient is absent from Daraz, the competitive benchmark will be skewed. Listing Carient on Daraz also captures the direct-to-consumer channel and provides price transparency.</w:t>
            </w:r>
          </w:p>
        </w:tc>
      </w:tr>
    </w:tbl>
    <w:p/>
    <w:p/>
    <w:p>
      <w:pPr>
        <w:pStyle w:val="Heading1"/>
      </w:pPr>
      <w:r>
        <w:rPr>
          <w:color w:val="00703C"/>
        </w:rPr>
        <w:t>6. Methodology &amp; Limitations</w:t>
      </w:r>
    </w:p>
    <w:p>
      <w:pPr>
        <w:pBdr>
          <w:bottom w:val="single" w:sz="6" w:space="1" w:color="00703C"/>
        </w:pBdr>
        <w:spacing w:after="120"/>
      </w:pPr>
    </w:p>
    <w:tbl>
      <w:tblPr>
        <w:tblStyle w:val="TableGrid"/>
        <w:tblW w:type="auto" w:w="0"/>
        <w:tblLook w:firstColumn="1" w:firstRow="1" w:lastColumn="0" w:lastRow="0" w:noHBand="0" w:noVBand="1" w:val="04A0"/>
      </w:tblPr>
      <w:tblGrid>
        <w:gridCol w:w="8640"/>
      </w:tblGrid>
      <w:tr>
        <w:tc>
          <w:tcPr>
            <w:tcW w:type="dxa" w:w="8640"/>
            <w:shd w:val="clear" w:color="auto" w:fill="FFF3CD"/>
          </w:tcPr>
          <w:p>
            <w:r>
              <w:rPr>
                <w:b w:val="0"/>
                <w:sz w:val="21"/>
              </w:rPr>
              <w:t>All prices scraped from Daraz.pk (Pakistan's largest e-commerce marketplace). Prices reflect active listings and may include third-party sellers, promotional prices, or bulk offers. Median price per litre is used throughout to reduce outlier distortion. Grade and pack size are extracted from product titles using pattern matching — accuracy depends on seller title quality. PSO pump prices or distributor list prices may differ.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