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NFS文件共享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NFS（Network File System）即网络文件系统，是由Su你公司开发的一种通过网络方式共享文件系统的通用共享解决方法。目前NFS有三个版本，分别为NFSv2、NFSv3、NFSv4。NFSv2是一个古老的版本，但却被众多的操作系统所支持，这样它的兼容性会更好；NFSv3拥有更多的特点，包括更快的速度、更大的单个文件大小，更多便于排错的错误及成功信息、对TCP协议的支持等；NFSv4提供了有状态的连接，更容易追踪连接状态，增强了安全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CentOS7版本默认使用版本4提供NFS网络文件共享服务，NFS监听在TCP2049端口。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所需软件：nfs-utils、rpcbind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注意：rpcbind用来替换CentOS老版本中的portmap提供的RPC协议服务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一，NFS服务器配置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NFS服务器通过读取/etc/exports 配置文件设定那些客户可以访问哪些NFS共享文件系统，该文件的书写规则如下。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空白行将被忽略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以#符号开头的内容为注释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配置文件中可以通过\符号转义换行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每个共享的文件系统需要独立一行条目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客户端主机列表需要使用空格隔开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配置文件中支持通配符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完整的共享条目语法结构如下，其中，客户端主机可以是一个网段、单台主机或主机名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共享路径 客户端主机 (选项)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我们页可以为多个客户主机设置不同的访问选项，语法结构如下：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共享路径 客户端主机1 (选项) 客户端主机2 (选项) 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最简单的NFS配置可以仅给定一个共享路径与一个客户端主机，而不指定选项，因为没有选项时，NFS将使用默认设置，而默认属性为ro、sync、wdelay、no_root_squash。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NFS属性及其对应含义如下：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只读共享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可读可写共享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同步写操作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wdelay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延迟写操作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异步写操作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no_root_squash</w:t>
      </w:r>
      <w:r>
        <w:rPr>
          <w:rFonts w:hint="eastAsia"/>
          <w:lang w:val="en-US" w:eastAsia="zh-CN"/>
        </w:rPr>
        <w:tab/>
        <w:t>不屏蔽远程root权限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root_squash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屏蔽远程root权限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all_squash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屏蔽所有用户远程权限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yum -y install nfs-utils rpcbind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rpm -qa | grep nfs-utils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rpm -qa | grep rpcbind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useradd -u 1003 jerry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mkdir /var/{web,cloud}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chmod a+w /var /web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cat /etc/exports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/var/web/ 127.16.0.20(rw,async,no_root_squash)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/var/cloud/ *(ro,sync)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systemctl restart nfs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ststemctl enable nfs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二，NFS 客户端配置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若想要客户端之际可以访问并使用服务器所提供的共享目录，可通过mount命令挂载NFS共享，格式如下：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mount -t nfs -o 选项 服务主机:/服务器共享目录 /本地挂载目录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具体挂载选项如下：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Intr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当服务器宕机时允许终端NFS请求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nfsvers=version 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只当使用哪个版本的NFS协议，version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可以是2、3或4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noacl 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关闭ACL，仅与老版本操作系统兼容时使用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nolock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关闭文件锁机制，仅用来连接老版本的NFS服务器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noexec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在挂载的文件系统中屏蔽可执行的二进制数据程序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port=num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指定NFS服务器端口号，默认num为0，此时如果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远程NFS进程没有在pcbind注册端口信息，则使用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标准NFS端口号（TCP2049端口）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rsize=num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设置最大数据块大小调整NFS读取数据的速度，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num单位为字节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wsize=num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设置最大数据块大小调整NFS写入数据的速度，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num单位为字节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tcp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使用tcp协议挂载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udp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>使用upd协议挂载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三，使用NFS命令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1，exportfs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述：当nfs服务启动时，/usr/sbin/exportfs命令会自动启动并读取/etc/exports文件，通过控制rpc.mountd（如果使用NFSv2或NFSv3）处理挂载请求，然后rpc.nfsd使文件系统对远程主机可见，手动运行exportfs允许root在不重启NFS服务的情况下选择共享或取消部分共享目录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选项：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重新读取/etc/exports文件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全部共享或全部取消共享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-u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取消共享，与a一起使用可以取消全部共享文件系统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-v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显示详细信息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2，nfsstat命令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描述：查看NFS共享状态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选项：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不适用该参数时，默认显示服务器端与客户端状态，使用该参数后将仅显示服务器状态。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仅显示客户端状态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仅显示NFS状态，默认显示NFS与RPC信息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n为数字2,3或4，仅显示NFS版本为n的状态信息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显示挂载信息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以列表形式显示信息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3，rpcinfo命令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描述：生成RPC信息报表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选项：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显示指定主机rpcbind操作信息表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显示指定主机RPC注册信息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显示指定主机所有注册RPC的信息和程序，不指定主机时默认显示本机信息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4E4F"/>
    <w:multiLevelType w:val="singleLevel"/>
    <w:tmpl w:val="5A014E4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1269"/>
    <w:rsid w:val="070E2720"/>
    <w:rsid w:val="094F2640"/>
    <w:rsid w:val="181E7D25"/>
    <w:rsid w:val="1C891501"/>
    <w:rsid w:val="23932066"/>
    <w:rsid w:val="28F530D3"/>
    <w:rsid w:val="330476C6"/>
    <w:rsid w:val="352048AD"/>
    <w:rsid w:val="3B3C6604"/>
    <w:rsid w:val="41CE6609"/>
    <w:rsid w:val="4736081F"/>
    <w:rsid w:val="4769089F"/>
    <w:rsid w:val="4E34590C"/>
    <w:rsid w:val="600929AB"/>
    <w:rsid w:val="679B4E94"/>
    <w:rsid w:val="6EB40C4A"/>
    <w:rsid w:val="73DC31DD"/>
    <w:rsid w:val="7A2A64BB"/>
    <w:rsid w:val="7AA668C4"/>
    <w:rsid w:val="7B333AC5"/>
    <w:rsid w:val="7EF6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2017-11-07T06:57:56Z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