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Overview</w:t>
      </w:r>
    </w:p>
    <w:p>
      <w:r>
        <w:t xml:space="preserve">Report prepared by </w:t>
      </w:r>
      <w:r>
        <w:rPr>
          <w:color w:val="FF0000"/>
        </w:rPr>
        <w:t>Author</w:t>
      </w:r>
      <w:r>
        <w:t xml:space="preserve"> on </w:t>
      </w:r>
      <w:r>
        <w:rPr>
          <w:color w:val="FF0000"/>
        </w:rPr>
        <w:t>Report Date</w:t>
      </w:r>
      <w:r>
        <w:t>.</w:t>
      </w:r>
    </w:p>
    <w:p>
      <w:pPr>
        <w:pStyle w:val="Heading1"/>
      </w:pPr>
      <w:r>
        <w:t>Key Metrics</w:t>
      </w:r>
    </w:p>
    <w:p>
      <w:r>
        <w:t>Below are the quarterly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</w:tr>
    </w:tbl>
    <w:p>
      <w:pPr>
        <w:pStyle w:val="Heading1"/>
      </w:pPr>
      <w:r>
        <w:t>Executive Summary</w:t>
      </w:r>
    </w:p>
    <w:p>
      <w:r>
        <w:rPr>
          <w:color w:val="FF0000"/>
        </w:rPr>
        <w:t>Provide an executive summary covering the key findings from the quarterly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