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0"/>
        <w:rPr/>
      </w:pPr>
      <w:r>
        <w:rPr/>
      </w:r>
    </w:p>
    <w:p>
      <w:pPr>
        <w:pStyle w:val="Normal"/>
        <w:spacing w:before="0" w:after="300"/>
        <w:jc w:val="center"/>
        <w:rPr/>
      </w:pPr>
      <w:r>
        <w:rPr>
          <w:b/>
          <w:bCs/>
          <w:color w:val="1F3864"/>
          <w:sz w:val="44"/>
          <w:szCs w:val="44"/>
        </w:rPr>
        <w:t>DOCUMENT DE SPÉCIFICATIONS</w:t>
      </w:r>
    </w:p>
    <w:p>
      <w:pPr>
        <w:pStyle w:val="Normal"/>
        <w:spacing w:before="0" w:after="300"/>
        <w:jc w:val="center"/>
        <w:rPr/>
      </w:pPr>
      <w:r>
        <w:rPr>
          <w:color w:val="595959"/>
          <w:sz w:val="30"/>
          <w:szCs w:val="30"/>
        </w:rPr>
        <w:t>Fonctionnelles et Techniques</w:t>
      </w:r>
    </w:p>
    <w:p>
      <w:pPr>
        <w:pStyle w:val="Normal"/>
        <w:spacing w:before="0" w:after="100"/>
        <w:jc w:val="center"/>
        <w:rPr/>
      </w:pPr>
      <w:r>
        <w:rPr>
          <w:b/>
          <w:bCs/>
          <w:sz w:val="32"/>
          <w:szCs w:val="32"/>
        </w:rPr>
        <w:t>Logiciel de Gestion Hospitalière (SIH)</w:t>
      </w:r>
    </w:p>
    <w:p>
      <w:pPr>
        <w:pStyle w:val="Normal"/>
        <w:spacing w:before="0" w:after="100"/>
        <w:jc w:val="center"/>
        <w:rPr/>
      </w:pPr>
      <w:r>
        <w:rPr>
          <w:i/>
          <w:iCs/>
          <w:color w:val="595959"/>
          <w:sz w:val="24"/>
          <w:szCs w:val="24"/>
        </w:rPr>
        <w:t>Périmètre réduit — Version Examen (MVP)</w:t>
      </w:r>
    </w:p>
    <w:p>
      <w:pPr>
        <w:pStyle w:val="Normal"/>
        <w:spacing w:before="0" w:after="800"/>
        <w:jc w:val="center"/>
        <w:rPr/>
      </w:pPr>
      <w:r>
        <w:rPr>
          <w:color w:val="595959"/>
          <w:sz w:val="22"/>
          <w:szCs w:val="22"/>
        </w:rPr>
        <w:t>Version 1.0</w:t>
      </w:r>
    </w:p>
    <w:p>
      <w:pPr>
        <w:pStyle w:val="Normal"/>
        <w:spacing w:before="0" w:after="80"/>
        <w:jc w:val="center"/>
        <w:rPr/>
      </w:pPr>
      <w:r>
        <w:rPr>
          <w:color w:val="595959"/>
          <w:sz w:val="20"/>
          <w:szCs w:val="20"/>
        </w:rPr>
        <w:t>Document dérivé du Cahier des Charges Fonctionnel et Technique (CCFT) fourni,</w:t>
      </w:r>
    </w:p>
    <w:p>
      <w:pPr>
        <w:pStyle w:val="Normal"/>
        <w:spacing w:before="0" w:after="800"/>
        <w:jc w:val="center"/>
        <w:rPr/>
      </w:pPr>
      <w:r>
        <w:rPr>
          <w:color w:val="595959"/>
          <w:sz w:val="20"/>
          <w:szCs w:val="20"/>
        </w:rPr>
        <w:t>traduisant les besoins exprimés en exigences techniques actionnables pour le développement.</w:t>
      </w:r>
    </w:p>
    <w:p>
      <w:pPr>
        <w:pStyle w:val="Normal"/>
        <w:spacing w:before="0" w:after="80"/>
        <w:jc w:val="center"/>
        <w:rPr/>
      </w:pPr>
      <w:r>
        <w:rPr>
          <w:sz w:val="20"/>
          <w:szCs w:val="20"/>
        </w:rPr>
        <w:t xml:space="preserve">Équipe projet : </w:t>
      </w:r>
    </w:p>
    <w:p>
      <w:pPr>
        <w:pStyle w:val="Normal"/>
        <w:spacing w:before="0" w:after="80"/>
        <w:ind w:hanging="0" w:left="2160"/>
        <w:jc w:val="left"/>
        <w:rPr/>
      </w:pPr>
      <w:r>
        <w:rPr>
          <w:sz w:val="20"/>
          <w:szCs w:val="20"/>
        </w:rPr>
        <w:t>Chef de Projet :RAKOTONJANAHARY Miohitra</w:t>
      </w:r>
    </w:p>
    <w:p>
      <w:pPr>
        <w:pStyle w:val="Normal"/>
        <w:spacing w:before="0" w:after="80"/>
        <w:ind w:hanging="0" w:left="2160"/>
        <w:jc w:val="left"/>
        <w:rPr/>
      </w:pPr>
      <w:r>
        <w:rPr>
          <w:sz w:val="20"/>
          <w:szCs w:val="20"/>
        </w:rPr>
        <w:t xml:space="preserve">Lead Backend/Architecte : Tsiry Nomena </w:t>
      </w:r>
    </w:p>
    <w:p>
      <w:pPr>
        <w:pStyle w:val="Normal"/>
        <w:spacing w:before="0" w:after="80"/>
        <w:ind w:hanging="0" w:left="2160"/>
        <w:jc w:val="left"/>
        <w:rPr/>
      </w:pPr>
      <w:r>
        <w:rPr>
          <w:sz w:val="20"/>
          <w:szCs w:val="20"/>
        </w:rPr>
        <w:t xml:space="preserve">Développeur Backend : Séverin Sahaefer </w:t>
      </w:r>
    </w:p>
    <w:p>
      <w:pPr>
        <w:pStyle w:val="Normal"/>
        <w:spacing w:before="0" w:after="80"/>
        <w:ind w:hanging="0" w:left="2160"/>
        <w:jc w:val="left"/>
        <w:rPr/>
      </w:pPr>
      <w:r>
        <w:rPr>
          <w:sz w:val="20"/>
          <w:szCs w:val="20"/>
        </w:rPr>
        <w:t xml:space="preserve">Développeur Frontend : Tsanta Niaina </w:t>
      </w:r>
    </w:p>
    <w:p>
      <w:pPr>
        <w:pStyle w:val="Normal"/>
        <w:spacing w:before="0" w:after="80"/>
        <w:ind w:hanging="0" w:left="2160"/>
        <w:jc w:val="left"/>
        <w:rPr/>
      </w:pPr>
      <w:r>
        <w:rPr>
          <w:sz w:val="20"/>
          <w:szCs w:val="20"/>
        </w:rPr>
        <w:t xml:space="preserve">DevOps/ Assurence Qulaité/Documentation : Antsa </w:t>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sz w:val="20"/>
          <w:szCs w:val="20"/>
        </w:rPr>
      </w:pPr>
      <w:r>
        <w:rPr/>
      </w:r>
    </w:p>
    <w:p>
      <w:pPr>
        <w:pStyle w:val="Normal"/>
        <w:jc w:val="center"/>
        <w:rPr/>
      </w:pPr>
      <w:r>
        <w:rPr>
          <w:sz w:val="20"/>
          <w:szCs w:val="20"/>
        </w:rPr>
        <w:t xml:space="preserve">Date de rédaction : 2 Août       </w:t>
      </w:r>
    </w:p>
    <w:p>
      <w:pPr>
        <w:sectPr>
          <w:type w:val="nextPage"/>
          <w:pgSz w:w="11906" w:h="16838"/>
          <w:pgMar w:left="1440" w:right="1440" w:gutter="0" w:header="0" w:top="1440" w:footer="0" w:bottom="1440"/>
          <w:pgNumType w:fmt="decimal"/>
          <w:formProt w:val="false"/>
          <w:textDirection w:val="lrTb"/>
          <w:docGrid w:type="default" w:linePitch="360" w:charSpace="8192"/>
        </w:sectPr>
        <w:pStyle w:val="Normal"/>
        <w:jc w:val="center"/>
        <w:rPr/>
      </w:pPr>
      <w:r>
        <w:rPr>
          <w:sz w:val="20"/>
          <w:szCs w:val="20"/>
        </w:rPr>
        <w:t>Date de rendu : 10 août 2026</w:t>
      </w:r>
    </w:p>
    <w:p>
      <w:pPr>
        <w:pStyle w:val="Heading1"/>
        <w:spacing w:before="400" w:after="200"/>
        <w:rPr/>
      </w:pPr>
      <w:r>
        <w:rPr/>
        <w:t>Table des matières</w:t>
      </w:r>
    </w:p>
    <w:sdt>
      <w:sdtPr>
        <w:docPartObj>
          <w:docPartGallery w:val="Table of Contents"/>
          <w:docPartUnique w:val="true"/>
        </w:docPartObj>
      </w:sdtPr>
      <w:sdtContent>
        <w:p>
          <w:pPr>
            <w:pStyle w:val="Normal"/>
            <w:widowControl/>
            <w:suppressAutoHyphens w:val="true"/>
            <w:bidi w:val="0"/>
            <w:spacing w:before="0" w:after="0"/>
            <w:jc w:val="left"/>
            <w:rPr>
              <w:rFonts w:ascii="Times New Roman" w:hAnsi="Times New Roman" w:eastAsia="Noto Serif CJK SC" w:cs="Noto Sans Devanagari"/>
              <w:color w:val="auto"/>
              <w:kern w:val="0"/>
              <w:sz w:val="20"/>
              <w:szCs w:val="20"/>
              <w:lang w:val="fr-FR" w:eastAsia="zh-CN" w:bidi="hi-IN"/>
            </w:rPr>
          </w:pPr>
          <w:r>
            <w:fldChar w:fldCharType="begin"/>
          </w:r>
          <w:r>
            <w:rPr>
              <w:sz w:val="20"/>
              <w:kern w:val="0"/>
              <w:szCs w:val="20"/>
              <w:rFonts w:eastAsia="Noto Serif CJK SC" w:cs="Noto Sans Devanagari"/>
              <w:color w:val="auto"/>
              <w:lang w:val="fr-FR" w:eastAsia="zh-CN" w:bidi="hi-IN"/>
            </w:rPr>
            <w:instrText xml:space="preserve"> TOC \o "1-3" \h</w:instrText>
          </w:r>
          <w:r>
            <w:rPr>
              <w:sz w:val="20"/>
              <w:kern w:val="0"/>
              <w:szCs w:val="20"/>
              <w:rFonts w:eastAsia="Noto Serif CJK SC" w:cs="Noto Sans Devanagari"/>
              <w:color w:val="auto"/>
              <w:lang w:val="fr-FR" w:eastAsia="zh-CN" w:bidi="hi-IN"/>
            </w:rPr>
            <w:fldChar w:fldCharType="separate"/>
          </w:r>
          <w:sdt>
            <w:sdtPr>
              <w:alias w:val="Table des matières"/>
              <w:text/>
            </w:sdtPr>
            <w:sdtContent>
              <w:r>
                <w:rPr>
                  <w:rFonts w:eastAsia="Noto Serif CJK SC" w:cs="Noto Sans Devanagari"/>
                  <w:color w:val="auto"/>
                  <w:kern w:val="0"/>
                  <w:sz w:val="20"/>
                  <w:szCs w:val="20"/>
                  <w:lang w:val="fr-FR" w:eastAsia="zh-CN" w:bidi="hi-IN"/>
                </w:rPr>
              </w:r>
              <w:r>
                <w:rPr>
                  <w:rFonts w:eastAsia="Noto Serif CJK SC" w:cs="Noto Sans Devanagari"/>
                  <w:color w:val="auto"/>
                  <w:kern w:val="0"/>
                  <w:sz w:val="20"/>
                  <w:szCs w:val="20"/>
                  <w:lang w:val="fr-FR" w:eastAsia="zh-CN" w:bidi="hi-IN"/>
                </w:rPr>
              </w:r>
            </w:sdtContent>
          </w:sdt>
          <w:r>
            <w:rPr>
              <w:sz w:val="20"/>
              <w:kern w:val="0"/>
              <w:szCs w:val="20"/>
              <w:rFonts w:eastAsia="Noto Serif CJK SC" w:cs="Noto Sans Devanagari"/>
              <w:color w:val="auto"/>
              <w:lang w:val="fr-FR" w:eastAsia="zh-CN" w:bidi="hi-IN"/>
            </w:rPr>
            <w:fldChar w:fldCharType="end"/>
          </w:r>
        </w:p>
      </w:sdtContent>
    </w:sdt>
    <w:p>
      <w:pPr>
        <w:pStyle w:val="Normal"/>
        <w:rPr/>
      </w:pPr>
      <w:r>
        <w:rPr/>
      </w:r>
    </w:p>
    <w:p>
      <w:pPr>
        <w:pStyle w:val="Normal"/>
        <w:rPr/>
      </w:pPr>
      <w:r>
        <w:rPr/>
      </w:r>
    </w:p>
    <w:p>
      <w:pPr>
        <w:pStyle w:val="Normal"/>
        <w:rPr/>
      </w:pPr>
      <w:r>
        <w:rPr/>
      </w:r>
      <w:r>
        <w:br w:type="page"/>
      </w:r>
    </w:p>
    <w:p>
      <w:pPr>
        <w:pStyle w:val="Heading1"/>
        <w:spacing w:before="0" w:after="200"/>
        <w:rPr/>
      </w:pPr>
      <w:r>
        <w:rPr/>
        <w:t>1. Introduction</w:t>
      </w:r>
    </w:p>
    <w:p>
      <w:pPr>
        <w:pStyle w:val="Heading2"/>
        <w:spacing w:before="300" w:after="150"/>
        <w:rPr/>
      </w:pPr>
      <w:r>
        <w:rPr/>
        <w:t>1.1 Objet du document</w:t>
      </w:r>
    </w:p>
    <w:p>
      <w:pPr>
        <w:pStyle w:val="Normal"/>
        <w:spacing w:before="0" w:after="150"/>
        <w:rPr/>
      </w:pPr>
      <w:r>
        <w:rPr/>
        <w:t>Ce document de spécifications fonctionnelles et techniques (SFT) traduit le Cahier des Charges Fonctionnel et Technique (CCFT) fourni en amont en exigences précises, actionnables et vérifiables pour l'équipe de développement. Il répond à la question "que doit faire le système", tandis que le CCFT répondait à "que veut le client".</w:t>
      </w:r>
    </w:p>
    <w:p>
      <w:pPr>
        <w:pStyle w:val="Normal"/>
        <w:spacing w:before="0" w:after="150"/>
        <w:rPr/>
      </w:pPr>
      <w:r>
        <w:rPr/>
        <w:t>Contrairement au CCFT, qui décrit un Système d'Information Hospitalier (SIH) complet de niveau industriel, ce document définit un périmètre volontairement réduit (MVP  Minimum Viable Product), adapté aux contraintes réelles du projet : une équipe de 5 étudiants, un délai réduit , et un objectif pédagogique de démonstration de compétences en ingénierie logicielle plutôt que de conformité réglementaire hospitalière réelle.</w:t>
      </w:r>
    </w:p>
    <w:p>
      <w:pPr>
        <w:pStyle w:val="Heading2"/>
        <w:spacing w:before="300" w:after="150"/>
        <w:rPr/>
      </w:pPr>
      <w:r>
        <w:rPr/>
        <w:t>1.2 Méthodologie de réduction du périmètre</w:t>
      </w:r>
    </w:p>
    <w:p>
      <w:pPr>
        <w:pStyle w:val="Normal"/>
        <w:spacing w:before="0" w:after="150"/>
        <w:rPr/>
      </w:pPr>
      <w:r>
        <w:rPr/>
        <w:t>Le CCFT priorise ses exigences fonctionnelles selon la méthode MoSCoW (Must Have / Should Have / Could Have / Won't Have). Ce document ne retient qu'un sous-ensemble des exigences "Must Have" du CCFT, sélectionné selon trois critères :</w:t>
      </w:r>
    </w:p>
    <w:p>
      <w:pPr>
        <w:pStyle w:val="ListParagraph"/>
        <w:numPr>
          <w:ilvl w:val="0"/>
          <w:numId w:val="4"/>
        </w:numPr>
        <w:spacing w:before="0" w:after="80"/>
        <w:rPr/>
      </w:pPr>
      <w:r>
        <w:rPr/>
        <w:t>Cohérence : les modules retenus forment un parcours patient complet et démontrable de bout en bout.</w:t>
      </w:r>
    </w:p>
    <w:p>
      <w:pPr>
        <w:pStyle w:val="ListParagraph"/>
        <w:numPr>
          <w:ilvl w:val="0"/>
          <w:numId w:val="5"/>
        </w:numPr>
        <w:spacing w:before="0" w:after="80"/>
        <w:rPr/>
      </w:pPr>
      <w:r>
        <w:rPr/>
        <w:t>Faisabilité technique en 8 jours avec une équipe de 5 personnes, sans infrastructure lourde (pas de microservices, pas de message broker, pas de conformité FHIR/HDS réelle).</w:t>
      </w:r>
    </w:p>
    <w:p>
      <w:pPr>
        <w:pStyle w:val="ListParagraph"/>
        <w:numPr>
          <w:ilvl w:val="0"/>
          <w:numId w:val="6"/>
        </w:numPr>
        <w:spacing w:before="0" w:after="80"/>
        <w:rPr/>
      </w:pPr>
      <w:r>
        <w:rPr/>
        <w:t>Valeur pédagogique : chaque module retenu illustre une compétence d'ingénierie logicielle différente (authentification/sécurité, gestion d'état, CRUD métier, relations entre entités).</w:t>
      </w:r>
    </w:p>
    <w:p>
      <w:pPr>
        <w:pStyle w:val="Heading2"/>
        <w:spacing w:before="300" w:after="150"/>
        <w:rPr/>
      </w:pPr>
      <w:r>
        <w:rPr/>
        <w:t>1.3 Public cible de ce document</w:t>
      </w:r>
    </w:p>
    <w:p>
      <w:pPr>
        <w:pStyle w:val="ListParagraph"/>
        <w:numPr>
          <w:ilvl w:val="0"/>
          <w:numId w:val="7"/>
        </w:numPr>
        <w:spacing w:before="0" w:after="80"/>
        <w:rPr/>
      </w:pPr>
      <w:r>
        <w:rPr/>
        <w:t>L'équipe de développement (5 membres) , référence commune pour éviter toute divergence d'interprétation du périmètre.</w:t>
      </w:r>
    </w:p>
    <w:p>
      <w:pPr>
        <w:pStyle w:val="ListParagraph"/>
        <w:numPr>
          <w:ilvl w:val="0"/>
          <w:numId w:val="8"/>
        </w:numPr>
        <w:spacing w:before="0" w:after="80"/>
        <w:rPr/>
      </w:pPr>
      <w:r>
        <w:rPr/>
        <w:t>L'enseignant évaluateur, traçabilité de la démarche de cadrage à partir du CCFT d'origine.</w:t>
      </w:r>
    </w:p>
    <w:p>
      <w:pPr>
        <w:pStyle w:val="Heading1"/>
        <w:spacing w:before="400" w:after="200"/>
        <w:rPr/>
      </w:pPr>
      <w:r>
        <w:rPr/>
        <w:t>2. Périmètre du projet (MVP)</w:t>
      </w:r>
    </w:p>
    <w:p>
      <w:pPr>
        <w:pStyle w:val="Heading2"/>
        <w:spacing w:before="300" w:after="150"/>
        <w:rPr/>
      </w:pPr>
      <w:r>
        <w:rPr/>
        <w:t>2.1 Modules retenus pour la version 1.0 (examen)</w:t>
      </w:r>
    </w:p>
    <w:tbl>
      <w:tblPr>
        <w:tblW w:w="9400" w:type="dxa"/>
        <w:jc w:val="left"/>
        <w:tblInd w:w="0" w:type="dxa"/>
        <w:tblLayout w:type="fixed"/>
        <w:tblCellMar>
          <w:top w:w="80" w:type="dxa"/>
          <w:left w:w="100" w:type="dxa"/>
          <w:bottom w:w="80" w:type="dxa"/>
          <w:right w:w="100" w:type="dxa"/>
        </w:tblCellMar>
      </w:tblPr>
      <w:tblGrid>
        <w:gridCol w:w="898"/>
        <w:gridCol w:w="3202"/>
        <w:gridCol w:w="5300"/>
      </w:tblGrid>
      <w:tr>
        <w:trPr>
          <w:tblHeader w:val="true"/>
        </w:trPr>
        <w:tc>
          <w:tcPr>
            <w:tcW w:w="898"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w:t>
            </w:r>
          </w:p>
        </w:tc>
        <w:tc>
          <w:tcPr>
            <w:tcW w:w="3202"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Module</w:t>
            </w:r>
          </w:p>
        </w:tc>
        <w:tc>
          <w:tcPr>
            <w:tcW w:w="5300"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Description et écart avec le CCFT</w:t>
            </w:r>
          </w:p>
        </w:tc>
      </w:tr>
      <w:tr>
        <w:trPr/>
        <w:tc>
          <w:tcPr>
            <w:tcW w:w="8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1</w:t>
            </w:r>
          </w:p>
        </w:tc>
        <w:tc>
          <w:tcPr>
            <w:tcW w:w="32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Authentification + Gestion des rôles (RBAC)</w:t>
            </w:r>
          </w:p>
        </w:tc>
        <w:tc>
          <w:tcPr>
            <w:tcW w:w="53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Login sécurisé, session, rôles Médecin / Infirmier / Administratif. Base de F07 , sans 2FA ni carte CPS.</w:t>
            </w:r>
          </w:p>
        </w:tc>
      </w:tr>
      <w:tr>
        <w:trPr/>
        <w:tc>
          <w:tcPr>
            <w:tcW w:w="8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2</w:t>
            </w:r>
          </w:p>
        </w:tc>
        <w:tc>
          <w:tcPr>
            <w:tcW w:w="32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Dossier Patient Informatisé (DPI)</w:t>
            </w:r>
          </w:p>
        </w:tc>
        <w:tc>
          <w:tcPr>
            <w:tcW w:w="5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Création, consultation et mise à jour d'un dossier patient unique. Base de F01, sans intégration labo/imagerie externe.</w:t>
            </w:r>
          </w:p>
        </w:tc>
      </w:tr>
      <w:tr>
        <w:trPr/>
        <w:tc>
          <w:tcPr>
            <w:tcW w:w="8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3</w:t>
            </w:r>
          </w:p>
        </w:tc>
        <w:tc>
          <w:tcPr>
            <w:tcW w:w="32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Admissions</w:t>
            </w:r>
          </w:p>
        </w:tc>
        <w:tc>
          <w:tcPr>
            <w:tcW w:w="53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Circuit admission → hospitalisation → sortie, affectation d'un lit. Base de F02, sans distinction fine urgences/programmé.</w:t>
            </w:r>
          </w:p>
        </w:tc>
      </w:tr>
      <w:tr>
        <w:trPr/>
        <w:tc>
          <w:tcPr>
            <w:tcW w:w="8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4</w:t>
            </w:r>
          </w:p>
        </w:tc>
        <w:tc>
          <w:tcPr>
            <w:tcW w:w="32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Prescription simplifiée</w:t>
            </w:r>
          </w:p>
        </w:tc>
        <w:tc>
          <w:tcPr>
            <w:tcW w:w="53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Un médecin rédige une prescription liée au dossier patient. Base de F03/F04, sans alertes CDS ni traçabilité BPIAM complète.</w:t>
            </w:r>
          </w:p>
        </w:tc>
      </w:tr>
    </w:tbl>
    <w:p>
      <w:pPr>
        <w:pStyle w:val="Normal"/>
        <w:spacing w:before="0" w:after="200"/>
        <w:rPr/>
      </w:pPr>
      <w:r>
        <w:rPr/>
      </w:r>
    </w:p>
    <w:p>
      <w:pPr>
        <w:pStyle w:val="Heading2"/>
        <w:spacing w:before="300" w:after="150"/>
        <w:rPr/>
      </w:pPr>
      <w:r>
        <w:rPr/>
        <w:t>2.2 Hors périmètre (explicitement exclu, avec justification)</w:t>
      </w:r>
    </w:p>
    <w:tbl>
      <w:tblPr>
        <w:tblW w:w="9400" w:type="dxa"/>
        <w:jc w:val="left"/>
        <w:tblInd w:w="0" w:type="dxa"/>
        <w:tblLayout w:type="fixed"/>
        <w:tblCellMar>
          <w:top w:w="80" w:type="dxa"/>
          <w:left w:w="100" w:type="dxa"/>
          <w:bottom w:w="80" w:type="dxa"/>
          <w:right w:w="100" w:type="dxa"/>
        </w:tblCellMar>
      </w:tblPr>
      <w:tblGrid>
        <w:gridCol w:w="3199"/>
        <w:gridCol w:w="6200"/>
      </w:tblGrid>
      <w:tr>
        <w:trPr>
          <w:tblHeader w:val="true"/>
        </w:trPr>
        <w:tc>
          <w:tcPr>
            <w:tcW w:w="3199"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Fonctionnalité du CCFT</w:t>
            </w:r>
          </w:p>
        </w:tc>
        <w:tc>
          <w:tcPr>
            <w:tcW w:w="6200"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Justification de l'exclusion</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Facturation / T2A (F05, F06)</w:t>
            </w:r>
          </w:p>
        </w:tc>
        <w:tc>
          <w:tcPr>
            <w:tcW w:w="62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Nécessite codification CCAM/CIM-10 et flux SESAM-Vitale réels,  hors de portée réglementaire et temporelle.</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Ressources humaines (F10)</w:t>
            </w:r>
          </w:p>
        </w:tc>
        <w:tc>
          <w:tcPr>
            <w:tcW w:w="6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Fonctionnalité indépendante du parcours patient, non prioritaire pour démontrer la valeur métier du système.</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Bloc opératoire (F08)</w:t>
            </w:r>
          </w:p>
        </w:tc>
        <w:tc>
          <w:tcPr>
            <w:tcW w:w="62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Requiert une modélisation métier spécifique (check-list HAS, anesthésie) trop lourde pour le délai.</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Interopérabilité HL7/FHIR réelle (F09, F14)</w:t>
            </w:r>
          </w:p>
        </w:tc>
        <w:tc>
          <w:tcPr>
            <w:tcW w:w="6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Nécessite un serveur FHIR et des systèmes tiers réels ; sera simulée au niveau conceptuel uniquement si le temps le permet.</w:t>
            </w:r>
          </w:p>
        </w:tc>
      </w:tr>
      <w:tr>
        <w:trPr/>
        <w:tc>
          <w:tcPr>
            <w:tcW w:w="3199"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Télémédecine, IA diagnostique, portail patient (F16-F19)</w:t>
            </w:r>
          </w:p>
        </w:tc>
        <w:tc>
          <w:tcPr>
            <w:tcW w:w="62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Fonctionnalités "Could Have" dans le CDC d'origine, explicitement reportées.</w:t>
            </w:r>
          </w:p>
        </w:tc>
      </w:tr>
      <w:tr>
        <w:trPr/>
        <w:tc>
          <w:tcPr>
            <w:tcW w:w="31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Paie, achats (F20, F21)</w:t>
            </w:r>
          </w:p>
        </w:tc>
        <w:tc>
          <w:tcPr>
            <w:tcW w:w="62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"Won't Have" dans le CDC d'origine, non traités.</w:t>
            </w:r>
          </w:p>
        </w:tc>
      </w:tr>
    </w:tbl>
    <w:p>
      <w:pPr>
        <w:pStyle w:val="Normal"/>
        <w:spacing w:before="0" w:after="100"/>
        <w:rPr/>
      </w:pPr>
      <w:r>
        <w:rPr/>
      </w:r>
    </w:p>
    <w:p>
      <w:pPr>
        <w:pStyle w:val="Normal"/>
        <w:spacing w:before="0" w:after="150"/>
        <w:rPr/>
      </w:pPr>
      <w:r>
        <w:rPr/>
        <w:t>Cette exclusion n'est pas un abandon des exigences du CCFT : elle constitue un arbitrage de périmètre documenté, conforme à la pratique professionnelle où toute contrainte de délai ou de ressources impose une priorisation explicite plutôt qu'une dégradation silencieuse de la qualité.</w:t>
      </w:r>
    </w:p>
    <w:p>
      <w:pPr>
        <w:pStyle w:val="Heading1"/>
        <w:spacing w:before="400" w:after="200"/>
        <w:rPr/>
      </w:pPr>
      <w:r>
        <w:rPr/>
        <w:t>3. Spécifications fonctionnelles détaillées</w:t>
      </w:r>
    </w:p>
    <w:p>
      <w:pPr>
        <w:pStyle w:val="Heading2"/>
        <w:spacing w:before="300" w:after="150"/>
        <w:rPr/>
      </w:pPr>
      <w:r>
        <w:rPr/>
        <w:t>3.1 Module Authentification et gestion des rôles</w:t>
      </w:r>
    </w:p>
    <w:p>
      <w:pPr>
        <w:pStyle w:val="Heading3"/>
        <w:spacing w:before="200" w:after="100"/>
        <w:rPr/>
      </w:pPr>
      <w:r>
        <w:rPr/>
        <w:t>Cas d'utilisation</w:t>
      </w:r>
    </w:p>
    <w:p>
      <w:pPr>
        <w:pStyle w:val="ListParagraph"/>
        <w:numPr>
          <w:ilvl w:val="0"/>
          <w:numId w:val="9"/>
        </w:numPr>
        <w:spacing w:before="0" w:after="80"/>
        <w:rPr/>
      </w:pPr>
      <w:r>
        <w:rPr/>
        <w:t>Un utilisateur se connecte avec un email et un mot de passe.</w:t>
      </w:r>
    </w:p>
    <w:p>
      <w:pPr>
        <w:pStyle w:val="ListParagraph"/>
        <w:numPr>
          <w:ilvl w:val="0"/>
          <w:numId w:val="10"/>
        </w:numPr>
        <w:spacing w:before="0" w:after="80"/>
        <w:rPr/>
      </w:pPr>
      <w:r>
        <w:rPr/>
        <w:t>Le système vérifie les identifiants et ouvre une session associée à un rôle (Médecin, Infirmier, Administratif).</w:t>
      </w:r>
    </w:p>
    <w:p>
      <w:pPr>
        <w:pStyle w:val="ListParagraph"/>
        <w:numPr>
          <w:ilvl w:val="0"/>
          <w:numId w:val="11"/>
        </w:numPr>
        <w:spacing w:before="0" w:after="80"/>
        <w:rPr/>
      </w:pPr>
      <w:r>
        <w:rPr/>
        <w:t>Un administrateur peut créer un compte utilisateur et lui assigner un rôle.</w:t>
      </w:r>
    </w:p>
    <w:p>
      <w:pPr>
        <w:pStyle w:val="Heading3"/>
        <w:spacing w:before="200" w:after="100"/>
        <w:rPr/>
      </w:pPr>
      <w:r>
        <w:rPr/>
        <w:t>Règles de gestion</w:t>
      </w:r>
    </w:p>
    <w:p>
      <w:pPr>
        <w:pStyle w:val="ListParagraph"/>
        <w:numPr>
          <w:ilvl w:val="0"/>
          <w:numId w:val="12"/>
        </w:numPr>
        <w:spacing w:before="0" w:after="80"/>
        <w:rPr/>
      </w:pPr>
      <w:r>
        <w:rPr/>
        <w:t>Un email ne peut être associé qu'à un seul compte.</w:t>
      </w:r>
    </w:p>
    <w:p>
      <w:pPr>
        <w:pStyle w:val="ListParagraph"/>
        <w:numPr>
          <w:ilvl w:val="0"/>
          <w:numId w:val="13"/>
        </w:numPr>
        <w:spacing w:before="0" w:after="80"/>
        <w:rPr/>
      </w:pPr>
      <w:r>
        <w:rPr/>
        <w:t>Le mot de passe est stocké sous forme hashée, jamais en clair.</w:t>
      </w:r>
    </w:p>
    <w:p>
      <w:pPr>
        <w:pStyle w:val="ListParagraph"/>
        <w:numPr>
          <w:ilvl w:val="0"/>
          <w:numId w:val="14"/>
        </w:numPr>
        <w:spacing w:before="0" w:after="80"/>
        <w:rPr/>
      </w:pPr>
      <w:r>
        <w:rPr/>
        <w:t>Chaque action du système est conditionnée à un rôle autorisé (ex. seul un Médecin peut créer une prescription).</w:t>
      </w:r>
    </w:p>
    <w:p>
      <w:pPr>
        <w:pStyle w:val="ListParagraph"/>
        <w:numPr>
          <w:ilvl w:val="0"/>
          <w:numId w:val="15"/>
        </w:numPr>
        <w:spacing w:before="0" w:after="80"/>
        <w:rPr/>
      </w:pPr>
      <w:r>
        <w:rPr/>
        <w:t>Après un nombre défini de tentatives échouées, un délai avant nouvelle tentative est appliqué (protection basique contre le brute-force).</w:t>
      </w:r>
    </w:p>
    <w:p>
      <w:pPr>
        <w:pStyle w:val="Heading2"/>
        <w:spacing w:before="300" w:after="150"/>
        <w:rPr/>
      </w:pPr>
      <w:r>
        <w:rPr/>
        <w:t>3.2 Module Dossier Patient Informatisé (DPI)</w:t>
      </w:r>
    </w:p>
    <w:p>
      <w:pPr>
        <w:pStyle w:val="Heading3"/>
        <w:spacing w:before="200" w:after="100"/>
        <w:rPr/>
      </w:pPr>
      <w:r>
        <w:rPr/>
        <w:t>Cas d'utilisation</w:t>
      </w:r>
    </w:p>
    <w:p>
      <w:pPr>
        <w:pStyle w:val="ListParagraph"/>
        <w:numPr>
          <w:ilvl w:val="0"/>
          <w:numId w:val="16"/>
        </w:numPr>
        <w:spacing w:before="0" w:after="80"/>
        <w:rPr/>
      </w:pPr>
      <w:r>
        <w:rPr/>
        <w:t>Un utilisateur autorisé crée un nouveau dossier patient (identité, coordonnées, contact d'urgence).</w:t>
      </w:r>
    </w:p>
    <w:p>
      <w:pPr>
        <w:pStyle w:val="ListParagraph"/>
        <w:numPr>
          <w:ilvl w:val="0"/>
          <w:numId w:val="17"/>
        </w:numPr>
        <w:spacing w:before="0" w:after="80"/>
        <w:rPr/>
      </w:pPr>
      <w:r>
        <w:rPr/>
        <w:t>Un utilisateur autorisé consulte un dossier patient existant (recherche par nom ou identifiant).</w:t>
      </w:r>
    </w:p>
    <w:p>
      <w:pPr>
        <w:pStyle w:val="ListParagraph"/>
        <w:numPr>
          <w:ilvl w:val="0"/>
          <w:numId w:val="18"/>
        </w:numPr>
        <w:spacing w:before="0" w:after="80"/>
        <w:rPr/>
      </w:pPr>
      <w:r>
        <w:rPr/>
        <w:t>Un utilisateur autorisé met à jour les informations administratives d'un patient.</w:t>
      </w:r>
    </w:p>
    <w:p>
      <w:pPr>
        <w:pStyle w:val="Heading3"/>
        <w:spacing w:before="200" w:after="100"/>
        <w:rPr/>
      </w:pPr>
      <w:r>
        <w:rPr/>
        <w:t>Règles de gestion</w:t>
      </w:r>
    </w:p>
    <w:p>
      <w:pPr>
        <w:pStyle w:val="ListParagraph"/>
        <w:numPr>
          <w:ilvl w:val="0"/>
          <w:numId w:val="19"/>
        </w:numPr>
        <w:spacing w:before="0" w:after="80"/>
        <w:rPr/>
      </w:pPr>
      <w:r>
        <w:rPr/>
        <w:t>Chaque patient possède un identifiant unique généré automatiquement à la création.</w:t>
      </w:r>
    </w:p>
    <w:p>
      <w:pPr>
        <w:pStyle w:val="ListParagraph"/>
        <w:numPr>
          <w:ilvl w:val="0"/>
          <w:numId w:val="20"/>
        </w:numPr>
        <w:spacing w:before="0" w:after="80"/>
        <w:rPr/>
      </w:pPr>
      <w:r>
        <w:rPr/>
        <w:t>La consultation d'un dossier patient est réservée aux rôles Médecin et Infirmier ; le rôle Administratif ne voit que les données administratives, pas l'historique médical.</w:t>
      </w:r>
    </w:p>
    <w:p>
      <w:pPr>
        <w:pStyle w:val="ListParagraph"/>
        <w:numPr>
          <w:ilvl w:val="0"/>
          <w:numId w:val="21"/>
        </w:numPr>
        <w:spacing w:before="0" w:after="80"/>
        <w:rPr/>
      </w:pPr>
      <w:r>
        <w:rPr/>
        <w:t>Toute modification d'un dossier patient est horodatée.</w:t>
      </w:r>
    </w:p>
    <w:p>
      <w:pPr>
        <w:pStyle w:val="Heading2"/>
        <w:spacing w:before="300" w:after="150"/>
        <w:rPr/>
      </w:pPr>
      <w:r>
        <w:rPr/>
        <w:t>3.3 Module Admissions</w:t>
      </w:r>
    </w:p>
    <w:p>
      <w:pPr>
        <w:pStyle w:val="Heading3"/>
        <w:spacing w:before="200" w:after="100"/>
        <w:rPr/>
      </w:pPr>
      <w:r>
        <w:rPr/>
        <w:t>Cas d'utilisation</w:t>
      </w:r>
    </w:p>
    <w:p>
      <w:pPr>
        <w:pStyle w:val="ListParagraph"/>
        <w:numPr>
          <w:ilvl w:val="0"/>
          <w:numId w:val="22"/>
        </w:numPr>
        <w:spacing w:before="0" w:after="80"/>
        <w:rPr/>
      </w:pPr>
      <w:r>
        <w:rPr/>
        <w:t>Un utilisateur autorisé admet un patient : sélection du patient, affectation d'un lit disponible, enregistrement de la date d'admission.</w:t>
      </w:r>
    </w:p>
    <w:p>
      <w:pPr>
        <w:pStyle w:val="ListParagraph"/>
        <w:numPr>
          <w:ilvl w:val="0"/>
          <w:numId w:val="23"/>
        </w:numPr>
        <w:spacing w:before="0" w:after="80"/>
        <w:rPr/>
      </w:pPr>
      <w:r>
        <w:rPr/>
        <w:t>Un utilisateur autorisé enregistre la sortie d'un patient : libération du lit, enregistrement de la date de sortie.</w:t>
      </w:r>
    </w:p>
    <w:p>
      <w:pPr>
        <w:pStyle w:val="ListParagraph"/>
        <w:numPr>
          <w:ilvl w:val="0"/>
          <w:numId w:val="24"/>
        </w:numPr>
        <w:spacing w:before="0" w:after="80"/>
        <w:rPr/>
      </w:pPr>
      <w:r>
        <w:rPr/>
        <w:t>Un utilisateur consulte la liste des lits disponibles en temps réel.</w:t>
      </w:r>
    </w:p>
    <w:p>
      <w:pPr>
        <w:pStyle w:val="Heading3"/>
        <w:spacing w:before="200" w:after="100"/>
        <w:rPr/>
      </w:pPr>
      <w:r>
        <w:rPr/>
        <w:t>Règles de gestion</w:t>
      </w:r>
    </w:p>
    <w:p>
      <w:pPr>
        <w:pStyle w:val="ListParagraph"/>
        <w:numPr>
          <w:ilvl w:val="0"/>
          <w:numId w:val="25"/>
        </w:numPr>
        <w:spacing w:before="0" w:after="80"/>
        <w:rPr/>
      </w:pPr>
      <w:r>
        <w:rPr/>
        <w:t>Un lit ne peut être assigné qu'à un seul patient à la fois.</w:t>
      </w:r>
    </w:p>
    <w:p>
      <w:pPr>
        <w:pStyle w:val="ListParagraph"/>
        <w:numPr>
          <w:ilvl w:val="0"/>
          <w:numId w:val="26"/>
        </w:numPr>
        <w:spacing w:before="0" w:after="80"/>
        <w:rPr/>
      </w:pPr>
      <w:r>
        <w:rPr/>
        <w:t>Un patient ne peut avoir qu'un seul séjour "en cours" simultanément.</w:t>
      </w:r>
    </w:p>
    <w:p>
      <w:pPr>
        <w:pStyle w:val="ListParagraph"/>
        <w:numPr>
          <w:ilvl w:val="0"/>
          <w:numId w:val="27"/>
        </w:numPr>
        <w:spacing w:before="0" w:after="80"/>
        <w:rPr/>
      </w:pPr>
      <w:r>
        <w:rPr/>
        <w:t>La date de sortie, si renseignée, doit être postérieure ou égale à la date d'admission.</w:t>
      </w:r>
    </w:p>
    <w:p>
      <w:pPr>
        <w:pStyle w:val="Heading2"/>
        <w:spacing w:before="300" w:after="150"/>
        <w:rPr/>
      </w:pPr>
      <w:r>
        <w:rPr/>
        <w:t>3.4 Module Prescription simplifiée</w:t>
      </w:r>
    </w:p>
    <w:p>
      <w:pPr>
        <w:pStyle w:val="Heading3"/>
        <w:spacing w:before="200" w:after="100"/>
        <w:rPr/>
      </w:pPr>
      <w:r>
        <w:rPr/>
        <w:t>Cas d'utilisation</w:t>
      </w:r>
    </w:p>
    <w:p>
      <w:pPr>
        <w:pStyle w:val="ListParagraph"/>
        <w:numPr>
          <w:ilvl w:val="0"/>
          <w:numId w:val="28"/>
        </w:numPr>
        <w:spacing w:before="0" w:after="80"/>
        <w:rPr/>
      </w:pPr>
      <w:r>
        <w:rPr/>
        <w:t>Un Médecin rédige une prescription pour un patient : médicament, posologie, date.</w:t>
      </w:r>
    </w:p>
    <w:p>
      <w:pPr>
        <w:pStyle w:val="ListParagraph"/>
        <w:numPr>
          <w:ilvl w:val="0"/>
          <w:numId w:val="29"/>
        </w:numPr>
        <w:spacing w:before="0" w:after="80"/>
        <w:rPr/>
      </w:pPr>
      <w:r>
        <w:rPr/>
        <w:t>Un utilisateur autorisé (Médecin, Infirmier) consulte l'historique des prescriptions d'un patient.</w:t>
      </w:r>
    </w:p>
    <w:p>
      <w:pPr>
        <w:pStyle w:val="Heading3"/>
        <w:spacing w:before="200" w:after="100"/>
        <w:rPr/>
      </w:pPr>
      <w:r>
        <w:rPr/>
        <w:t>Règles de gestion</w:t>
      </w:r>
    </w:p>
    <w:p>
      <w:pPr>
        <w:pStyle w:val="ListParagraph"/>
        <w:numPr>
          <w:ilvl w:val="0"/>
          <w:numId w:val="30"/>
        </w:numPr>
        <w:spacing w:before="0" w:after="80"/>
        <w:rPr/>
      </w:pPr>
      <w:r>
        <w:rPr/>
        <w:t>Seul un utilisateur avec le rôle Médecin peut créer une prescription.</w:t>
      </w:r>
    </w:p>
    <w:p>
      <w:pPr>
        <w:pStyle w:val="ListParagraph"/>
        <w:numPr>
          <w:ilvl w:val="0"/>
          <w:numId w:val="31"/>
        </w:numPr>
        <w:spacing w:before="0" w:after="80"/>
        <w:rPr/>
      </w:pPr>
      <w:r>
        <w:rPr/>
        <w:t>Une prescription est toujours rattachée à un patient et à un médecin identifiés.</w:t>
      </w:r>
    </w:p>
    <w:p>
      <w:pPr>
        <w:pStyle w:val="ListParagraph"/>
        <w:numPr>
          <w:ilvl w:val="0"/>
          <w:numId w:val="32"/>
        </w:numPr>
        <w:spacing w:before="0" w:after="80"/>
        <w:rPr/>
      </w:pPr>
      <w:r>
        <w:rPr/>
        <w:t>Une prescription, une fois créée, n'est pas supprimable (traçabilité) — elle peut uniquement être marquée comme "annulée" avec un motif.</w:t>
      </w:r>
    </w:p>
    <w:p>
      <w:pPr>
        <w:pStyle w:val="Heading1"/>
        <w:spacing w:before="400" w:after="200"/>
        <w:rPr/>
      </w:pPr>
      <w:r>
        <w:rPr/>
        <w:t>4. Modèle de données simplifié</w:t>
      </w:r>
    </w:p>
    <w:p>
      <w:pPr>
        <w:pStyle w:val="Normal"/>
        <w:spacing w:before="0" w:after="150"/>
        <w:rPr/>
      </w:pPr>
      <w:r>
        <w:rPr/>
        <w:t>Le schéma ci-dessous liste les entités principales et leurs relations. Il constitue la base des scripts de création de base de données (livrable L07 réduit).</w:t>
      </w:r>
    </w:p>
    <w:tbl>
      <w:tblPr>
        <w:tblW w:w="9400" w:type="dxa"/>
        <w:jc w:val="left"/>
        <w:tblInd w:w="0" w:type="dxa"/>
        <w:tblLayout w:type="fixed"/>
        <w:tblCellMar>
          <w:top w:w="80" w:type="dxa"/>
          <w:left w:w="100" w:type="dxa"/>
          <w:bottom w:w="80" w:type="dxa"/>
          <w:right w:w="100" w:type="dxa"/>
        </w:tblCellMar>
      </w:tblPr>
      <w:tblGrid>
        <w:gridCol w:w="1800"/>
        <w:gridCol w:w="3798"/>
        <w:gridCol w:w="3802"/>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Entité</w:t>
            </w:r>
          </w:p>
        </w:tc>
        <w:tc>
          <w:tcPr>
            <w:tcW w:w="3798"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Attributs principaux</w:t>
            </w:r>
          </w:p>
        </w:tc>
        <w:tc>
          <w:tcPr>
            <w:tcW w:w="3802"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Relations</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Utilisateur</w:t>
            </w:r>
          </w:p>
        </w:tc>
        <w:tc>
          <w:tcPr>
            <w:tcW w:w="37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id, nom, prénom, email, mot_de_passe (hash), rôle</w:t>
            </w:r>
          </w:p>
        </w:tc>
        <w:tc>
          <w:tcPr>
            <w:tcW w:w="38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1 Utilisateur (rôle Médecin) → N Prescriptions</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Patient</w:t>
            </w:r>
          </w:p>
        </w:tc>
        <w:tc>
          <w:tcPr>
            <w:tcW w:w="37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id, nom, prénom, date_naissance, sexe, adresse, contact_urgence</w:t>
            </w:r>
          </w:p>
        </w:tc>
        <w:tc>
          <w:tcPr>
            <w:tcW w:w="38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1 Patient → 1..N Séjours ; 1 Patient → 0..N Prescriptions</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Séjour (Admission)</w:t>
            </w:r>
          </w:p>
        </w:tc>
        <w:tc>
          <w:tcPr>
            <w:tcW w:w="37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id, patient_id, lit_id, date_admission, date_sortie (nullable), statut</w:t>
            </w:r>
          </w:p>
        </w:tc>
        <w:tc>
          <w:tcPr>
            <w:tcW w:w="38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1 Séjour → 1 Patient ; 1 Séjour → 1 Lit</w:t>
            </w:r>
          </w:p>
        </w:tc>
      </w:tr>
      <w:tr>
        <w:trPr/>
        <w:tc>
          <w:tcPr>
            <w:tcW w:w="18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Lit</w:t>
            </w:r>
          </w:p>
        </w:tc>
        <w:tc>
          <w:tcPr>
            <w:tcW w:w="37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id, numéro, service, statut (libre/occupé)</w:t>
            </w:r>
          </w:p>
        </w:tc>
        <w:tc>
          <w:tcPr>
            <w:tcW w:w="38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1 Lit → 0..1 Séjour en cours</w:t>
            </w:r>
          </w:p>
        </w:tc>
      </w:tr>
      <w:tr>
        <w:trPr/>
        <w:tc>
          <w:tcPr>
            <w:tcW w:w="18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Prescription</w:t>
            </w:r>
          </w:p>
        </w:tc>
        <w:tc>
          <w:tcPr>
            <w:tcW w:w="37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id, patient_id, medecin_id, médicament, posologie, date_prescription</w:t>
            </w:r>
          </w:p>
        </w:tc>
        <w:tc>
          <w:tcPr>
            <w:tcW w:w="38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1 Prescription → 1 Patient ; 1 Prescription → 1 Médecin (Utilisateur)</w:t>
            </w:r>
          </w:p>
        </w:tc>
      </w:tr>
    </w:tbl>
    <w:p>
      <w:pPr>
        <w:pStyle w:val="Normal"/>
        <w:spacing w:before="0" w:after="100"/>
        <w:rPr/>
      </w:pPr>
      <w:r>
        <w:rPr/>
      </w:r>
    </w:p>
    <w:p>
      <w:pPr>
        <w:pStyle w:val="Normal"/>
        <w:spacing w:before="0" w:after="150"/>
        <w:rPr>
          <w:b/>
          <w:bCs/>
          <w:i w:val="false"/>
          <w:i w:val="false"/>
          <w:iCs w:val="false"/>
        </w:rPr>
      </w:pPr>
      <w:r>
        <w:rPr>
          <w:b/>
          <w:bCs/>
          <w:i w:val="false"/>
          <w:iCs w:val="false"/>
          <w:color w:val="595959"/>
        </w:rPr>
        <w:t>Contrairement au CCFT d'origine qui prévoit une base de données distincte par microservice, ce projet utilise une base de données relationnelle unique (PostgreSQL), cohérente avec une architecture monolithique adaptée au périmètre réduit.</w:t>
      </w:r>
    </w:p>
    <w:p>
      <w:pPr>
        <w:pStyle w:val="Heading1"/>
        <w:spacing w:before="400" w:after="200"/>
        <w:rPr/>
      </w:pPr>
      <w:r>
        <w:rPr/>
        <w:t>5. Exigences non fonctionnelles (réduites)</w:t>
      </w:r>
    </w:p>
    <w:p>
      <w:pPr>
        <w:pStyle w:val="Normal"/>
        <w:spacing w:before="0" w:after="150"/>
        <w:rPr/>
      </w:pPr>
      <w:r>
        <w:rPr/>
        <w:t>Les exigences non fonctionnelles du CCFT (disponibilité 99,9 %, support de 500 utilisateurs simultanés, conformité HDS, etc.) sont dimensionnées pour un environnement de production hospitalière réelle et ne sont pas applicables à un projet d'examen. Les exigences ci-dessous sont un sous-ensemble réaliste et vérifiable dans le contexte du projet.</w:t>
      </w:r>
    </w:p>
    <w:tbl>
      <w:tblPr>
        <w:tblW w:w="9400" w:type="dxa"/>
        <w:jc w:val="left"/>
        <w:tblInd w:w="0" w:type="dxa"/>
        <w:tblLayout w:type="fixed"/>
        <w:tblCellMar>
          <w:top w:w="80" w:type="dxa"/>
          <w:left w:w="100" w:type="dxa"/>
          <w:bottom w:w="80" w:type="dxa"/>
          <w:right w:w="100" w:type="dxa"/>
        </w:tblCellMar>
      </w:tblPr>
      <w:tblGrid>
        <w:gridCol w:w="1598"/>
        <w:gridCol w:w="2002"/>
        <w:gridCol w:w="5800"/>
      </w:tblGrid>
      <w:tr>
        <w:trPr>
          <w:tblHeader w:val="true"/>
        </w:trPr>
        <w:tc>
          <w:tcPr>
            <w:tcW w:w="1598"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ID</w:t>
            </w:r>
          </w:p>
        </w:tc>
        <w:tc>
          <w:tcPr>
            <w:tcW w:w="2002"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Catégorie</w:t>
            </w:r>
          </w:p>
        </w:tc>
        <w:tc>
          <w:tcPr>
            <w:tcW w:w="5800"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Exigence</w:t>
            </w:r>
          </w:p>
        </w:tc>
      </w:tr>
      <w:tr>
        <w:trPr/>
        <w:tc>
          <w:tcPr>
            <w:tcW w:w="15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NF01</w:t>
            </w:r>
          </w:p>
        </w:tc>
        <w:tc>
          <w:tcPr>
            <w:tcW w:w="20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Performance</w:t>
            </w:r>
          </w:p>
        </w:tc>
        <w:tc>
          <w:tcPr>
            <w:tcW w:w="58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Temps de réponse perçu &lt; 2s sur les actions courantes en environnement de démonstration (charge faible, non testé en volume réel).</w:t>
            </w:r>
          </w:p>
        </w:tc>
      </w:tr>
      <w:tr>
        <w:trPr/>
        <w:tc>
          <w:tcPr>
            <w:tcW w:w="15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NF02</w:t>
            </w:r>
          </w:p>
        </w:tc>
        <w:tc>
          <w:tcPr>
            <w:tcW w:w="20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Sécurité</w:t>
            </w:r>
          </w:p>
        </w:tc>
        <w:tc>
          <w:tcPr>
            <w:tcW w:w="58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Mots de passe hashés (bcrypt ou équivalent). Connexions en HTTPS sur l'environnement déployé. Accès aux données conditionné à l'authentification.</w:t>
            </w:r>
          </w:p>
        </w:tc>
      </w:tr>
      <w:tr>
        <w:trPr/>
        <w:tc>
          <w:tcPr>
            <w:tcW w:w="15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NF03</w:t>
            </w:r>
          </w:p>
        </w:tc>
        <w:tc>
          <w:tcPr>
            <w:tcW w:w="20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Sécurité</w:t>
            </w:r>
          </w:p>
        </w:tc>
        <w:tc>
          <w:tcPr>
            <w:tcW w:w="58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RBAC appliqué : un rôle ne peut accéder qu'aux actions et données qui lui sont autorisées (ex. un administratif ne peut pas rédiger de prescription).</w:t>
            </w:r>
          </w:p>
        </w:tc>
      </w:tr>
      <w:tr>
        <w:trPr/>
        <w:tc>
          <w:tcPr>
            <w:tcW w:w="15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NF04</w:t>
            </w:r>
          </w:p>
        </w:tc>
        <w:tc>
          <w:tcPr>
            <w:tcW w:w="20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Ergonomie</w:t>
            </w:r>
          </w:p>
        </w:tc>
        <w:tc>
          <w:tcPr>
            <w:tcW w:w="58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Interface web responsive de base (utilisable sur desktop et tablette), navigation compréhensible sans formation préalable.</w:t>
            </w:r>
          </w:p>
        </w:tc>
      </w:tr>
      <w:tr>
        <w:trPr/>
        <w:tc>
          <w:tcPr>
            <w:tcW w:w="15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NF05</w:t>
            </w:r>
          </w:p>
        </w:tc>
        <w:tc>
          <w:tcPr>
            <w:tcW w:w="20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Fiabilité</w:t>
            </w:r>
          </w:p>
        </w:tc>
        <w:tc>
          <w:tcPr>
            <w:tcW w:w="58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Validation des données en entrée (formulaires) pour éviter les enregistrements incohérents (ex. date de sortie antérieure à la date d'admission).</w:t>
            </w:r>
          </w:p>
        </w:tc>
      </w:tr>
      <w:tr>
        <w:trPr/>
        <w:tc>
          <w:tcPr>
            <w:tcW w:w="15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NF06</w:t>
            </w:r>
          </w:p>
        </w:tc>
        <w:tc>
          <w:tcPr>
            <w:tcW w:w="20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Maintenabilité</w:t>
            </w:r>
          </w:p>
        </w:tc>
        <w:tc>
          <w:tcPr>
            <w:tcW w:w="58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Code versionné sur Git avec historique de commits clair, tests automatisés de base, CI qui valide chaque Pull Request avant fusion.</w:t>
            </w:r>
          </w:p>
        </w:tc>
      </w:tr>
      <w:tr>
        <w:trPr/>
        <w:tc>
          <w:tcPr>
            <w:tcW w:w="15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NF07</w:t>
            </w:r>
          </w:p>
        </w:tc>
        <w:tc>
          <w:tcPr>
            <w:tcW w:w="20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Disponibilité</w:t>
            </w:r>
          </w:p>
        </w:tc>
        <w:tc>
          <w:tcPr>
            <w:tcW w:w="58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Application accessible en continu sur l'hébergement gratuit choisi pendant la période d'évaluation (pas de SLA formel, best effort).</w:t>
            </w:r>
          </w:p>
        </w:tc>
      </w:tr>
    </w:tbl>
    <w:p>
      <w:pPr>
        <w:pStyle w:val="Heading1"/>
        <w:spacing w:before="400" w:after="200"/>
        <w:rPr/>
      </w:pPr>
      <w:r>
        <w:rPr/>
        <w:t>6. Architecture technique</w:t>
      </w:r>
    </w:p>
    <w:p>
      <w:pPr>
        <w:pStyle w:val="Heading2"/>
        <w:spacing w:before="300" w:after="150"/>
        <w:rPr/>
      </w:pPr>
      <w:r>
        <w:rPr/>
        <w:t>6.1 Vue d'ensemble</w:t>
      </w:r>
    </w:p>
    <w:p>
      <w:pPr>
        <w:pStyle w:val="Normal"/>
        <w:spacing w:before="0" w:after="150"/>
        <w:rPr/>
      </w:pPr>
      <w:r>
        <w:rPr/>
        <w:t>Architecture simplifiée en trois couches (frontend / backend / base de données), déployée comme une application monolithique par opposition à l'architecture microservices du CCFT d'origine, non justifiée à cette échelle de projet.</w:t>
      </w:r>
    </w:p>
    <w:p>
      <w:pPr>
        <w:pStyle w:val="Heading2"/>
        <w:spacing w:before="300" w:after="150"/>
        <w:rPr/>
      </w:pPr>
      <w:r>
        <w:rPr/>
        <w:t>6.2 Stack technique retenue</w:t>
      </w:r>
    </w:p>
    <w:p>
      <w:pPr>
        <w:pStyle w:val="Normal"/>
        <w:spacing w:before="0" w:after="80"/>
        <w:rPr/>
      </w:pPr>
      <w:r>
        <w:rPr>
          <w:b/>
          <w:bCs/>
        </w:rPr>
        <w:t xml:space="preserve">Frontend : </w:t>
      </w:r>
      <w:r>
        <w:rPr/>
        <w:t>React.js (application web responsive)</w:t>
      </w:r>
    </w:p>
    <w:p>
      <w:pPr>
        <w:pStyle w:val="Normal"/>
        <w:spacing w:before="0" w:after="80"/>
        <w:rPr/>
      </w:pPr>
      <w:r>
        <w:rPr>
          <w:b/>
          <w:bCs/>
        </w:rPr>
        <w:t xml:space="preserve">Backend : </w:t>
      </w:r>
      <w:r>
        <w:rPr/>
        <w:t>Django (Python) + Django REST Framework  exposition d'une API consommée par le frontend React</w:t>
      </w:r>
    </w:p>
    <w:p>
      <w:pPr>
        <w:pStyle w:val="Normal"/>
        <w:spacing w:before="0" w:after="80"/>
        <w:rPr/>
      </w:pPr>
      <w:r>
        <w:rPr>
          <w:b/>
          <w:bCs/>
        </w:rPr>
        <w:t xml:space="preserve">Base de données : </w:t>
      </w:r>
      <w:r>
        <w:rPr/>
        <w:t>PostgreSQL, hébergée sur Render</w:t>
      </w:r>
    </w:p>
    <w:p>
      <w:pPr>
        <w:pStyle w:val="Normal"/>
        <w:spacing w:before="0" w:after="80"/>
        <w:rPr/>
      </w:pPr>
      <w:r>
        <w:rPr>
          <w:b/>
          <w:bCs/>
        </w:rPr>
        <w:t xml:space="preserve">Hébergement backend + base de données : </w:t>
      </w:r>
      <w:r>
        <w:rPr/>
        <w:t>Render (free tier),  build et déploiement automatiques depuis GitHub à chaque push sur la branche main</w:t>
      </w:r>
    </w:p>
    <w:p>
      <w:pPr>
        <w:pStyle w:val="Normal"/>
        <w:spacing w:before="0" w:after="80"/>
        <w:rPr/>
      </w:pPr>
      <w:r>
        <w:rPr>
          <w:b/>
          <w:bCs/>
        </w:rPr>
        <w:t xml:space="preserve">Hébergement frontend : </w:t>
      </w:r>
      <w:r>
        <w:rPr/>
        <w:t>Vercel (free tier) déploiement automatique depuis GitHub, CDN inclus</w:t>
      </w:r>
    </w:p>
    <w:p>
      <w:pPr>
        <w:pStyle w:val="Normal"/>
        <w:spacing w:before="0" w:after="80"/>
        <w:rPr/>
      </w:pPr>
      <w:r>
        <w:rPr>
          <w:b/>
          <w:bCs/>
        </w:rPr>
        <w:t xml:space="preserve">CI/CD : </w:t>
      </w:r>
      <w:r>
        <w:rPr/>
        <w:t>GitHub Actions , exécution des tests à chaque Pull Request, déploiement déclenché à la fusion sur main</w:t>
      </w:r>
    </w:p>
    <w:p>
      <w:pPr>
        <w:pStyle w:val="Normal"/>
        <w:spacing w:before="0" w:after="80"/>
        <w:rPr/>
      </w:pPr>
      <w:r>
        <w:rPr>
          <w:b/>
          <w:bCs/>
        </w:rPr>
        <w:t xml:space="preserve">Gestion de projet : </w:t>
      </w:r>
      <w:r>
        <w:rPr/>
        <w:t>GitHub (Issues, Projects, Milestones, Wiki) , exclusivement, sans outil tiers</w:t>
      </w:r>
    </w:p>
    <w:p>
      <w:pPr>
        <w:pStyle w:val="Heading2"/>
        <w:spacing w:before="300" w:after="150"/>
        <w:rPr/>
      </w:pPr>
      <w:r>
        <w:rPr/>
        <w:t>6.3 Justification des choix</w:t>
      </w:r>
    </w:p>
    <w:p>
      <w:pPr>
        <w:pStyle w:val="Normal"/>
        <w:spacing w:before="0" w:after="150"/>
        <w:rPr/>
      </w:pPr>
      <w:r>
        <w:rPr/>
        <w:t>Django est retenu pour le backend car il fournit nativement une interface d'administration auto-générée, un ORM et un système d'authentification/permissions  ce qui réduit fortement le volume de code à écrire pour les modules Authentification/RBAC et les opérations CRUD (DPI, Admissions, Prescriptions), une priorité absolue compte tenu du délai de 8 jours.</w:t>
      </w:r>
    </w:p>
    <w:p>
      <w:pPr>
        <w:pStyle w:val="Normal"/>
        <w:spacing w:before="0" w:after="150"/>
        <w:rPr/>
      </w:pPr>
      <w:r>
        <w:rPr/>
        <w:t>React est retenu pour le frontend afin de rester cohérent avec le CCFT d'origine et de permettre une séparation claire des responsabilités entre le rôle Développeur Backend et le rôle Développeur Frontend / UI-UX définis en section 7.</w:t>
      </w:r>
    </w:p>
    <w:p>
      <w:pPr>
        <w:pStyle w:val="Normal"/>
        <w:spacing w:before="0" w:after="150"/>
        <w:rPr/>
      </w:pPr>
      <w:r>
        <w:rPr/>
        <w:t>Render et Vercel sont retenus pour l'hébergement car ils permettent un déploiement automatique depuis GitHub sans configuration serveur manuelle, condition nécessaire pour respecter la contrainte de gestion "tout via Git/GitHub" et pour sécuriser le respect du délai.</w:t>
      </w:r>
    </w:p>
    <w:p>
      <w:pPr>
        <w:pStyle w:val="Heading1"/>
        <w:spacing w:before="400" w:after="200"/>
        <w:rPr/>
      </w:pPr>
      <w:r>
        <w:rPr/>
        <w:t>7. Organisation du projet</w:t>
      </w:r>
    </w:p>
    <w:p>
      <w:pPr>
        <w:pStyle w:val="Heading2"/>
        <w:spacing w:before="300" w:after="150"/>
        <w:rPr/>
      </w:pPr>
      <w:r>
        <w:rPr/>
        <w:t>7.1 Rôles de l'équipe</w:t>
      </w:r>
    </w:p>
    <w:tbl>
      <w:tblPr>
        <w:tblW w:w="9400" w:type="dxa"/>
        <w:jc w:val="left"/>
        <w:tblInd w:w="0" w:type="dxa"/>
        <w:tblLayout w:type="fixed"/>
        <w:tblCellMar>
          <w:top w:w="80" w:type="dxa"/>
          <w:left w:w="100" w:type="dxa"/>
          <w:bottom w:w="80" w:type="dxa"/>
          <w:right w:w="100" w:type="dxa"/>
        </w:tblCellMar>
      </w:tblPr>
      <w:tblGrid>
        <w:gridCol w:w="2999"/>
        <w:gridCol w:w="6400"/>
      </w:tblGrid>
      <w:tr>
        <w:trPr>
          <w:tblHeader w:val="true"/>
        </w:trPr>
        <w:tc>
          <w:tcPr>
            <w:tcW w:w="2999"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Rôle</w:t>
            </w:r>
          </w:p>
        </w:tc>
        <w:tc>
          <w:tcPr>
            <w:tcW w:w="6400"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Responsabilités</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Chef de Projet / Product Owner</w:t>
            </w:r>
          </w:p>
        </w:tc>
        <w:tc>
          <w:tcPr>
            <w:tcW w:w="64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Priorisation, gestion GitHub Project/Issues/Milestones, arbitrage du périmètre, coordination générale, interface avec le prof.</w:t>
            </w:r>
          </w:p>
        </w:tc>
      </w:tr>
      <w:tr>
        <w:trPr/>
        <w:tc>
          <w:tcPr>
            <w:tcW w:w="29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Lead Backend / Architecte technique</w:t>
            </w:r>
          </w:p>
        </w:tc>
        <w:tc>
          <w:tcPr>
            <w:tcW w:w="6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Architecture globale, structure du repo, modèle de données, revue de code des Pull Requests backend.</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Développeur Backend</w:t>
            </w:r>
          </w:p>
        </w:tc>
        <w:tc>
          <w:tcPr>
            <w:tcW w:w="64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Implémentation des API et de la logique métier des 4 modules du MVP.</w:t>
            </w:r>
          </w:p>
        </w:tc>
      </w:tr>
      <w:tr>
        <w:trPr/>
        <w:tc>
          <w:tcPr>
            <w:tcW w:w="2999"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Développeur Frontend / UI-UX</w:t>
            </w:r>
          </w:p>
        </w:tc>
        <w:tc>
          <w:tcPr>
            <w:tcW w:w="64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Maquettes, intégration de l'interface, expérience utilisateur.</w:t>
            </w:r>
          </w:p>
        </w:tc>
      </w:tr>
      <w:tr>
        <w:trPr/>
        <w:tc>
          <w:tcPr>
            <w:tcW w:w="2999"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DevOps / QA / Documentation</w:t>
            </w:r>
          </w:p>
        </w:tc>
        <w:tc>
          <w:tcPr>
            <w:tcW w:w="64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Déploiement, pipeline CI/CD (GitHub Actions), tests automatisés, documentation technique.</w:t>
            </w:r>
          </w:p>
        </w:tc>
      </w:tr>
    </w:tbl>
    <w:p>
      <w:pPr>
        <w:pStyle w:val="Normal"/>
        <w:spacing w:before="0" w:after="100"/>
        <w:rPr/>
      </w:pPr>
      <w:r>
        <w:rPr/>
      </w:r>
    </w:p>
    <w:p>
      <w:pPr>
        <w:pStyle w:val="Heading2"/>
        <w:spacing w:before="300" w:after="150"/>
        <w:rPr/>
      </w:pPr>
      <w:r>
        <w:rPr/>
        <w:t>7.2 Fonctionnement Git/GitHub</w:t>
      </w:r>
    </w:p>
    <w:p>
      <w:pPr>
        <w:pStyle w:val="ListParagraph"/>
        <w:numPr>
          <w:ilvl w:val="0"/>
          <w:numId w:val="33"/>
        </w:numPr>
        <w:spacing w:before="0" w:after="80"/>
        <w:rPr/>
      </w:pPr>
      <w:r>
        <w:rPr/>
        <w:t>Un dépôt GitHub unique, avec l'enseignant invité en tant que collaborateur (accès lecture).</w:t>
      </w:r>
    </w:p>
    <w:p>
      <w:pPr>
        <w:pStyle w:val="ListParagraph"/>
        <w:numPr>
          <w:ilvl w:val="0"/>
          <w:numId w:val="34"/>
        </w:numPr>
        <w:spacing w:before="0" w:after="80"/>
        <w:rPr/>
      </w:pPr>
      <w:r>
        <w:rPr/>
        <w:t>Branche main protégée : toute modification passe par une Pull Request revue avant fusion.</w:t>
      </w:r>
    </w:p>
    <w:p>
      <w:pPr>
        <w:pStyle w:val="ListParagraph"/>
        <w:numPr>
          <w:ilvl w:val="0"/>
          <w:numId w:val="35"/>
        </w:numPr>
        <w:spacing w:before="0" w:after="80"/>
        <w:rPr/>
      </w:pPr>
      <w:r>
        <w:rPr/>
        <w:t>Suivi des tâches via GitHub Issues, organisées par Milestones (échéances) et visualisées sur un GitHub Project (tableau kanban).</w:t>
      </w:r>
    </w:p>
    <w:p>
      <w:pPr>
        <w:pStyle w:val="ListParagraph"/>
        <w:numPr>
          <w:ilvl w:val="0"/>
          <w:numId w:val="36"/>
        </w:numPr>
        <w:spacing w:before="0" w:after="80"/>
        <w:rPr/>
      </w:pPr>
      <w:r>
        <w:rPr/>
        <w:t>Documentation technique tenue à jour dans le Wiki du dépôt.</w:t>
      </w:r>
    </w:p>
    <w:p>
      <w:pPr>
        <w:pStyle w:val="ListParagraph"/>
        <w:numPr>
          <w:ilvl w:val="0"/>
          <w:numId w:val="37"/>
        </w:numPr>
        <w:spacing w:before="0" w:after="80"/>
        <w:rPr/>
      </w:pPr>
      <w:r>
        <w:rPr/>
        <w:t>Intégration continue (GitHub Actions) exécutant les tests automatiques à chaque Pull Request.</w:t>
      </w:r>
    </w:p>
    <w:p>
      <w:pPr>
        <w:pStyle w:val="Heading1"/>
        <w:spacing w:before="400" w:after="200"/>
        <w:rPr/>
      </w:pPr>
      <w:r>
        <w:rPr/>
      </w:r>
    </w:p>
    <w:p>
      <w:pPr>
        <w:pStyle w:val="Heading1"/>
        <w:spacing w:before="400" w:after="200"/>
        <w:rPr/>
      </w:pPr>
      <w:r>
        <w:rPr/>
      </w:r>
      <w:r>
        <w:br w:type="page"/>
      </w:r>
    </w:p>
    <w:p>
      <w:pPr>
        <w:pStyle w:val="Heading1"/>
        <w:spacing w:before="0" w:after="200"/>
        <w:rPr/>
      </w:pPr>
      <w:r>
        <w:rPr/>
        <w:t>8. Livrables attendus</w:t>
      </w:r>
    </w:p>
    <w:tbl>
      <w:tblPr>
        <w:tblW w:w="9600" w:type="dxa"/>
        <w:jc w:val="left"/>
        <w:tblInd w:w="0" w:type="dxa"/>
        <w:tblLayout w:type="fixed"/>
        <w:tblCellMar>
          <w:top w:w="80" w:type="dxa"/>
          <w:left w:w="100" w:type="dxa"/>
          <w:bottom w:w="80" w:type="dxa"/>
          <w:right w:w="100" w:type="dxa"/>
        </w:tblCellMar>
      </w:tblPr>
      <w:tblGrid>
        <w:gridCol w:w="1398"/>
        <w:gridCol w:w="4302"/>
        <w:gridCol w:w="3900"/>
      </w:tblGrid>
      <w:tr>
        <w:trPr>
          <w:tblHeader w:val="true"/>
        </w:trPr>
        <w:tc>
          <w:tcPr>
            <w:tcW w:w="1398"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Livrable</w:t>
            </w:r>
          </w:p>
        </w:tc>
        <w:tc>
          <w:tcPr>
            <w:tcW w:w="4302"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Contenu</w:t>
            </w:r>
          </w:p>
        </w:tc>
        <w:tc>
          <w:tcPr>
            <w:tcW w:w="3900" w:type="dxa"/>
            <w:tcBorders>
              <w:top w:val="single" w:sz="4" w:space="0" w:color="000000"/>
              <w:left w:val="single" w:sz="4" w:space="0" w:color="000000"/>
              <w:bottom w:val="single" w:sz="4" w:space="0" w:color="000000"/>
              <w:right w:val="single" w:sz="4" w:space="0" w:color="000000"/>
            </w:tcBorders>
            <w:shd w:color="auto" w:fill="1F3864" w:val="clear"/>
          </w:tcPr>
          <w:p>
            <w:pPr>
              <w:pStyle w:val="Normal"/>
              <w:jc w:val="left"/>
              <w:rPr/>
            </w:pPr>
            <w:r>
              <w:rPr>
                <w:b/>
                <w:bCs/>
                <w:color w:val="FFFFFF"/>
              </w:rPr>
              <w:t>Emplacement</w:t>
            </w:r>
          </w:p>
        </w:tc>
      </w:tr>
      <w:tr>
        <w:trPr/>
        <w:tc>
          <w:tcPr>
            <w:tcW w:w="13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Le présent document</w:t>
            </w:r>
          </w:p>
        </w:tc>
        <w:tc>
          <w:tcPr>
            <w:tcW w:w="43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Spécifications fonctionnelles et techniques (STD) — périmètre examen</w:t>
            </w:r>
          </w:p>
        </w:tc>
        <w:tc>
          <w:tcPr>
            <w:tcW w:w="39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Ce document, dans le repo (/docs)</w:t>
            </w:r>
          </w:p>
        </w:tc>
      </w:tr>
      <w:tr>
        <w:trPr/>
        <w:tc>
          <w:tcPr>
            <w:tcW w:w="1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Code source</w:t>
            </w:r>
          </w:p>
        </w:tc>
        <w:tc>
          <w:tcPr>
            <w:tcW w:w="43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Backend, frontend, scripts de déploiement</w:t>
            </w:r>
          </w:p>
        </w:tc>
        <w:tc>
          <w:tcPr>
            <w:tcW w:w="3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Dépôt GitHub, historique de commits</w:t>
            </w:r>
          </w:p>
        </w:tc>
      </w:tr>
      <w:tr>
        <w:trPr/>
        <w:tc>
          <w:tcPr>
            <w:tcW w:w="13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Base de données</w:t>
            </w:r>
          </w:p>
        </w:tc>
        <w:tc>
          <w:tcPr>
            <w:tcW w:w="43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Scripts de création de schéma et migrations</w:t>
            </w:r>
          </w:p>
        </w:tc>
        <w:tc>
          <w:tcPr>
            <w:tcW w:w="39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Dossier /db du repo</w:t>
            </w:r>
          </w:p>
        </w:tc>
      </w:tr>
      <w:tr>
        <w:trPr/>
        <w:tc>
          <w:tcPr>
            <w:tcW w:w="1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Suite de tests</w:t>
            </w:r>
          </w:p>
        </w:tc>
        <w:tc>
          <w:tcPr>
            <w:tcW w:w="43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Tests unitaires et d'intégration de base</w:t>
            </w:r>
          </w:p>
        </w:tc>
        <w:tc>
          <w:tcPr>
            <w:tcW w:w="3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Dossier /tests + rapport CI</w:t>
            </w:r>
          </w:p>
        </w:tc>
      </w:tr>
      <w:tr>
        <w:trPr/>
        <w:tc>
          <w:tcPr>
            <w:tcW w:w="1398"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Documentation technique</w:t>
            </w:r>
          </w:p>
        </w:tc>
        <w:tc>
          <w:tcPr>
            <w:tcW w:w="4302"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Guide d'installation et d'architecture</w:t>
            </w:r>
          </w:p>
        </w:tc>
        <w:tc>
          <w:tcPr>
            <w:tcW w:w="3900" w:type="dxa"/>
            <w:tcBorders>
              <w:top w:val="single" w:sz="4" w:space="0" w:color="000000"/>
              <w:left w:val="single" w:sz="4" w:space="0" w:color="000000"/>
              <w:bottom w:val="single" w:sz="4" w:space="0" w:color="000000"/>
              <w:right w:val="single" w:sz="4" w:space="0" w:color="000000"/>
            </w:tcBorders>
          </w:tcPr>
          <w:p>
            <w:pPr>
              <w:pStyle w:val="Normal"/>
              <w:jc w:val="left"/>
              <w:rPr/>
            </w:pPr>
            <w:r>
              <w:rPr>
                <w:b w:val="false"/>
                <w:bCs w:val="false"/>
                <w:color w:val="000000"/>
              </w:rPr>
              <w:t>Wiki GitHub</w:t>
            </w:r>
          </w:p>
        </w:tc>
      </w:tr>
      <w:tr>
        <w:trPr/>
        <w:tc>
          <w:tcPr>
            <w:tcW w:w="1398"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Application déployée</w:t>
            </w:r>
          </w:p>
        </w:tc>
        <w:tc>
          <w:tcPr>
            <w:tcW w:w="4302"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Instance fonctionnelle en ligne</w:t>
            </w:r>
          </w:p>
        </w:tc>
        <w:tc>
          <w:tcPr>
            <w:tcW w:w="39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jc w:val="left"/>
              <w:rPr/>
            </w:pPr>
            <w:r>
              <w:rPr>
                <w:b w:val="false"/>
                <w:bCs w:val="false"/>
                <w:color w:val="000000"/>
              </w:rPr>
              <w:t>URL d'hébergement gratuit (lien dans le README)</w:t>
            </w:r>
          </w:p>
        </w:tc>
      </w:tr>
    </w:tbl>
    <w:p>
      <w:pPr>
        <w:pStyle w:val="Normal"/>
        <w:spacing w:before="400" w:after="0"/>
        <w:rPr>
          <w:i/>
          <w:i/>
          <w:iCs/>
          <w:color w:val="595959"/>
        </w:rPr>
      </w:pPr>
      <w:r>
        <w:rPr>
          <w:i/>
          <w:iCs/>
          <w:color w:val="595959"/>
        </w:rPr>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fr-FR" w:eastAsia="zh-CN" w:bidi="hi-IN"/>
    </w:rPr>
  </w:style>
  <w:style w:type="paragraph" w:styleId="Heading1">
    <w:name w:val="Heading 1"/>
    <w:basedOn w:val="Titre"/>
    <w:qFormat/>
    <w:pPr/>
    <w:rPr>
      <w:color w:val="2E74B5"/>
      <w:sz w:val="32"/>
      <w:szCs w:val="32"/>
    </w:rPr>
  </w:style>
  <w:style w:type="paragraph" w:styleId="Heading2">
    <w:name w:val="Heading 2"/>
    <w:basedOn w:val="Titre"/>
    <w:qFormat/>
    <w:pPr/>
    <w:rPr>
      <w:color w:val="2E74B5"/>
      <w:sz w:val="26"/>
      <w:szCs w:val="26"/>
    </w:rPr>
  </w:style>
  <w:style w:type="paragraph" w:styleId="Heading3">
    <w:name w:val="Heading 3"/>
    <w:basedOn w:val="Titre"/>
    <w:qFormat/>
    <w:pPr/>
    <w:rPr>
      <w:color w:val="1F4D78"/>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fr-FR"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8</Pages>
  <Words>1888</Words>
  <Characters>11143</Characters>
  <CharactersWithSpaces>12816</CharactersWithSpaces>
  <Paragraphs>203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2026-08-02T15:44:26Z</dcterms:created>
  <dc:creator>Un-named</dc:creator>
  <dc:description/>
  <dc:language>fr-FR</dc:language>
  <cp:lastModifiedBy/>
  <dcterms:modified xsi:type="dcterms:W3CDTF">2026-08-03T22:27:31Z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