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bidi w:val="1"/>
        <w:contextualSpacing w:val="0"/>
        <w:jc w:val="left"/>
        <w:rPr/>
      </w:pPr>
      <w:bookmarkStart w:colFirst="0" w:colLast="0" w:name="_9bkve7p8390p" w:id="0"/>
      <w:bookmarkEnd w:id="0"/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R^2 = 0.7508933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Significant variables: MEI, CO2, N2O, CFC.11, CFC.12, TSI, Aerosols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48088" cy="216299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162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bidi w:val="1"/>
        <w:contextualSpacing w:val="0"/>
        <w:jc w:val="left"/>
        <w:rPr/>
      </w:pPr>
      <w:bookmarkStart w:colFirst="0" w:colLast="0" w:name="_bwzj77w6gpk9" w:id="1"/>
      <w:bookmarkEnd w:id="1"/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3913" cy="42674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2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4400" cy="432141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21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دایره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2 + </w:t>
      </w:r>
      <w:r w:rsidDel="00000000" w:rsidR="00000000" w:rsidRPr="00000000">
        <w:rPr>
          <w:rtl w:val="0"/>
        </w:rPr>
        <w:t xml:space="preserve">TSI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Aerosols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R^2 = 0.7336403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38763" cy="23883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388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bidi w:val="1"/>
        <w:contextualSpacing w:val="0"/>
        <w:rPr/>
      </w:pPr>
      <w:bookmarkStart w:colFirst="0" w:colLast="0" w:name="_mt0tonuktp7u" w:id="2"/>
      <w:bookmarkEnd w:id="2"/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^2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Style w:val="Heading2"/>
        <w:bidi w:val="1"/>
        <w:contextualSpacing w:val="0"/>
        <w:rPr/>
      </w:pPr>
      <w:bookmarkStart w:colFirst="0" w:colLast="0" w:name="_9smy9orvqwr1" w:id="3"/>
      <w:bookmarkEnd w:id="3"/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RMSE =  0.0952287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R^2 =  0.62860512</w:t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bidi w:val="1"/>
      <w:contextualSpacing w:val="0"/>
      <w:jc w:val="left"/>
      <w:rPr/>
    </w:pPr>
    <w:r w:rsidDel="00000000" w:rsidR="00000000" w:rsidRPr="00000000">
      <w:rPr>
        <w:rtl w:val="1"/>
      </w:rPr>
      <w:t xml:space="preserve">محمد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صادق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قاسمی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