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bidi w:val="1"/>
        <w:contextualSpacing w:val="0"/>
        <w:rPr/>
      </w:pPr>
      <w:bookmarkStart w:colFirst="0" w:colLast="0" w:name="_judrdp8j2rd3" w:id="0"/>
      <w:bookmarkEnd w:id="0"/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  <w:t xml:space="preserve">83.99457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log.annual.inc, days.with.cr.line, revol.util, inq.last.6mths, delinq.2yrs and pub.rec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برخورد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رگرسیون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Overfitting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همینطور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0.00345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، 0.00261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0.00042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اتوماتیک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Predictive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Mean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Matching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pStyle w:val="Heading2"/>
        <w:bidi w:val="1"/>
        <w:contextualSpacing w:val="0"/>
        <w:rPr/>
      </w:pPr>
      <w:bookmarkStart w:colFirst="0" w:colLast="0" w:name="_c70d1zpr1c5v" w:id="1"/>
      <w:bookmarkEnd w:id="1"/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credit.policy ,purpose2,purpose3, purpose6, purpose7 ,installment ,log.annual.inc ,fico,revol.bal,inq.last.6mths ,pub.rec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67113" cy="2662284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66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  <w:rPr/>
      </w:pPr>
      <w:bookmarkStart w:colFirst="0" w:colLast="0" w:name="_wbfp3lw3lnr4" w:id="2"/>
      <w:bookmarkEnd w:id="2"/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همبستگی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fico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0.7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6863" cy="2834916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83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همبستگی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خصیصه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0.8364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0.8368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revol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delinq</w:t>
      </w:r>
      <w:r w:rsidDel="00000000" w:rsidR="00000000" w:rsidRPr="00000000">
        <w:rPr>
          <w:rtl w:val="0"/>
        </w:rPr>
        <w:t xml:space="preserve">.2</w:t>
      </w:r>
      <w:r w:rsidDel="00000000" w:rsidR="00000000" w:rsidRPr="00000000">
        <w:rPr>
          <w:rtl w:val="0"/>
        </w:rPr>
        <w:t xml:space="preserve">yrs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  <w:rPr/>
      </w:pPr>
      <w:bookmarkStart w:colFirst="0" w:colLast="0" w:name="_4a34hqcl9obg" w:id="3"/>
      <w:bookmarkEnd w:id="3"/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1"/>
        </w:rPr>
        <w:t xml:space="preserve">ماتریس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سردرگمی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ماتریسی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گفته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عملکرد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مربوطه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نشان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دهند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معمولا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ً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چنین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نمایشی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یادگیری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ناظر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اگرچه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یادگیری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بدون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ناظر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کاربرد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ماتریس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تواند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توصیف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کارآیی</w:t>
      </w:r>
      <w:r w:rsidDel="00000000" w:rsidR="00000000" w:rsidRPr="00000000">
        <w:rPr>
          <w:color w:val="222222"/>
          <w:sz w:val="21"/>
          <w:szCs w:val="21"/>
          <w:highlight w:val="white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مورد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جدول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تعیین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شاخص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ارزیابی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مانند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دقت</w:t>
      </w:r>
      <w:r w:rsidDel="00000000" w:rsidR="00000000" w:rsidRPr="00000000">
        <w:rPr>
          <w:color w:val="222222"/>
          <w:sz w:val="21"/>
          <w:szCs w:val="21"/>
          <w:highlight w:val="white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صحت</w:t>
      </w:r>
      <w:r w:rsidDel="00000000" w:rsidR="00000000" w:rsidRPr="00000000">
        <w:rPr>
          <w:color w:val="222222"/>
          <w:sz w:val="21"/>
          <w:szCs w:val="21"/>
          <w:highlight w:val="white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دقت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عبارت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اینکه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"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چه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نمونه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انتخابی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درست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"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صحت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مفهوم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"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چه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نمونه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صحیح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موجود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انتخاب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"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دلالت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بدست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آوردن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کارآیی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کننده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کافی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مجموع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عناصر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قطر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مجموع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کل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عناصر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ماتریس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نمود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جدول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مثالی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ماتریس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سردرگمی</w:t>
      </w:r>
      <w:r w:rsidDel="00000000" w:rsidR="00000000" w:rsidRPr="00000000">
        <w:rPr>
          <w:color w:val="222222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contextualSpacing w:val="0"/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4638675" cy="2647950"/>
            <wp:effectExtent b="0" l="0" r="0" t="0"/>
            <wp:docPr descr="Example confusion matrix for a binary classifier" id="4" name="image13.png"/>
            <a:graphic>
              <a:graphicData uri="http://schemas.openxmlformats.org/drawingml/2006/picture">
                <pic:pic>
                  <pic:nvPicPr>
                    <pic:cNvPr descr="Example confusion matrix for a binary classifier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contextualSpacing w:val="1"/>
        <w:jc w:val="left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Accuracy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Overall, how often is the classifier correct?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(TP+TN)/total = (100+50)/165 = 0.91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contextualSpacing w:val="1"/>
        <w:jc w:val="left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Misclassification Rate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Overall, how often is it wrong?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(FP+FN)/total = (10+5)/165 = 0.09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equivalent to 1 minus Accuracy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also known as "Error Rate"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contextualSpacing w:val="1"/>
        <w:jc w:val="left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True Positive Rate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When it's actually yes, how often does it predict yes?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TP/actual yes = 100/105 = 0.95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also known as "Sensitivity" or "Recall"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contextualSpacing w:val="1"/>
        <w:jc w:val="left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False Positive Rate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When it's actually no, how often does it predict yes?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FP/actual no = 10/60 = 0.17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contextualSpacing w:val="1"/>
        <w:jc w:val="left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Specificity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When it's actually no, how often does it predict no?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TN/actual no = 50/60 = 0.83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equivalent to 1 minus False Positive Rate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contextualSpacing w:val="1"/>
        <w:jc w:val="left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Precision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When it predicts yes, how often is it correct?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TP/predicted yes = 100/110 = 0.91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720" w:hanging="360"/>
        <w:contextualSpacing w:val="1"/>
        <w:jc w:val="left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Prevalence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 How often does the yes condition actually occur in our sample?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contextualSpacing w:val="1"/>
        <w:rPr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actual yes/total = 105/165 = 0.64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881188" cy="187278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7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833563" cy="1833563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901394" cy="189071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394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890713" cy="188130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81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890713" cy="189071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843088" cy="1843088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Aria under curve = 0.6721337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lmtest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pscl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MKmisc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،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survey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تابع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anova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base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مقایسه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قابل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  <w:tab/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تابع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anova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base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تابع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lrtest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کتابخانه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lmtest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ضریب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احتمال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درستی</w:t>
      </w:r>
      <w:r w:rsidDel="00000000" w:rsidR="00000000" w:rsidRPr="00000000">
        <w:rPr>
          <w:sz w:val="21"/>
          <w:szCs w:val="21"/>
          <w:highlight w:val="white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برخلاف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رگرسیون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خطی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اینجا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امکان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^2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ندارد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کتابخانه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pscl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Pseudo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^2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Hosmer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Lemeshow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Wald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معیارهای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دیگری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ترتیب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کتابخانه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MKmisc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survey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قابل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multiple imputation by chained equations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Confusion matrix</w:t>
      </w:r>
    </w:p>
  </w:footnote>
  <w:footnote w:id="3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Performance </w:t>
      </w:r>
    </w:p>
  </w:footnote>
  <w:footnote w:id="4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Precision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Recall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methods(mice)</w:t>
      </w:r>
    </w:p>
  </w:footnote>
  <w:footnote w:id="6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Likelihood Ratio Test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jc w:val="left"/>
      <w:rPr/>
    </w:pPr>
    <w:r w:rsidDel="00000000" w:rsidR="00000000" w:rsidRPr="00000000">
      <w:rPr>
        <w:rtl w:val="1"/>
      </w:rPr>
      <w:t xml:space="preserve">محمد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صادق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قاسمی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2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0.png"/><Relationship Id="rId8" Type="http://schemas.openxmlformats.org/officeDocument/2006/relationships/image" Target="media/image18.png"/></Relationships>
</file>