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1. Thematic communities recovered by Leiden detection (n = 387). Orientation reported ordinally; mid-field communities (*) are partition-sensitive and not robust point estimates (ARI = 0.78).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Community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Theme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 papers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Orientation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 &amp; Productivity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benefit-leaning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Work-Life / Teleworking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near-neutral*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Belonging &amp; Workplace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benefit-leaning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Technostress &amp; Digital Fatigue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near-neutral*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Psychological Safety &amp; Leadership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benefit-leaning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Surveillance &amp;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risk-leaning</w:t>
            </w:r>
          </w:p>
        </w:tc>
      </w:tr>
    </w:tbl>
    <w:p/>
    <w:p>
      <w:r>
        <w:rPr>
          <w:b/>
          <w:sz w:val="20"/>
        </w:rPr>
        <w:t>Table 2. Centrality of target psychosocial constructs in the concept co-occurrence network (RQ3). Autonomy brokers the field; trust is pervasive; surveillance is peripheral.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Construct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Degree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Betweenness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Eigenvector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Rank(deg)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Rank(btw)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Composite rank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trust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0.7391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0.2461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autonomy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0.7826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0.0976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psychological safety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0.3913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0.0711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0.2492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technostress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0.4783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0.2555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belonging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surveillance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0.2609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0.1465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</w:tr>
    </w:tbl>
    <w:p/>
    <w:p>
      <w:r>
        <w:rPr>
          <w:b/>
          <w:sz w:val="20"/>
        </w:rPr>
        <w:t>Table 3. Per-paper benefit/risk co-presence at anchor thresholds (RQ4; seed-independent). The field is polarized at the community level but individual papers engage both poles.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Anchors/pole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Both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Benefit 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Risk 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Neither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&gt;=1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&gt;=2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&gt;=3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24.0%</w:t>
            </w:r>
          </w:p>
        </w:tc>
      </w:tr>
    </w:tbl>
    <w:p/>
    <w:p>
      <w:r>
        <w:rPr>
          <w:b/>
          <w:sz w:val="20"/>
        </w:rPr>
        <w:t>Table 4. Level of analysis at which outcomes are measured as dependent variables (LLM extraction, n = 387; Claude claude-sonnet-4-6, Anthropic). Validation against a blind independent coder: level agreement 81-86%, firm-level precision 78% (18/23 confirmed). The measured-versus-mentioned distinction was only moderately reliable (kappa = 0.48) and is reported in text as suggestive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Measurement level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Measured-DV instances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measured DVs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