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spacing w:before="0" w:after="0"/>
        <w:jc w:val="center"/>
        <w:rPr>
          <w:sz w:val="28"/>
          <w:szCs w:val="28"/>
        </w:rPr>
      </w:pPr>
      <w:bookmarkStart w:id="0" w:name="_Hlk101130987"/>
      <w:bookmarkEnd w:id="0"/>
      <w:r>
        <w:rPr>
          <w:sz w:val="28"/>
          <w:szCs w:val="28"/>
        </w:rPr>
        <w:t>ФГБОУ ВО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Уфимский университет науки и технологий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Кафедра ТК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лабораторным работам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«Проектирование и архитектура программных систем»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 «Проектирование комплекса объектно-ориентированных моделей для продажи автомобиля»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ИВТ-421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Антонов А.С.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Хуснутдинов Х.В.</w:t>
      </w:r>
    </w:p>
    <w:p>
      <w:pPr>
        <w:spacing w:before="0"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Проверила: доцент каф. ТК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Федорова Н.И.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Уфа 2023</w:t>
      </w: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{{checkpoint_0}}</w:t>
      </w:r>
      <w:r>
        <w:rPr>
          <w:b/>
          <w:bCs/>
          <w:sz w:val="28"/>
          <w:szCs w:val="28"/>
        </w:rPr>
        <w:t xml:space="preserve">: </w:t>
      </w:r>
    </w:p>
    <w:p>
      <w:r>
        <w:t xml:space="preserve">Если процесс, воздействующий на некоторый объект, прекращается при достижении цели, то цель называют конечной. Если нет, то промежуточной. 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{{checkpoint_1}}</w:t>
      </w:r>
      <w:r>
        <w:rPr>
          <w:b/>
          <w:bCs/>
          <w:sz w:val="28"/>
          <w:szCs w:val="28"/>
        </w:rPr>
        <w:t>:</w:t>
      </w:r>
    </w:p>
    <w:p>
      <w:r>
        <w:t xml:space="preserve">Классические текстовые задачи на логику — интерактивные задания на сообразительность и внимательность. 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>
      <w:pPr>
        <w:numPr>
          <w:ilvl w:val="0"/>
          <w:numId w:val="1"/>
        </w:numPr>
        <w:tabs>
          <w:tab w:val="left" w:pos="1134"/>
        </w:tabs>
        <w:spacing w:before="0" w:after="0"/>
        <w:ind w:left="0" w:righ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Диаграммы вариантов использования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прецедентов иллюстрируется набор прецедентов системы и исполнители, а также взаимосвязи между ними. Прецеденты определяют, как исполнители взаимодействуют с программной системой. В процессе этого взаимодействия исполнителем генерируются события, передаваемые системе, которые представляют собой запросы на выполнение некоторой операции.</w:t>
      </w:r>
    </w:p>
    <w:p>
      <w:pPr>
        <w:numPr>
          <w:ilvl w:val="0"/>
          <w:numId w:val="2"/>
        </w:numPr>
        <w:tabs>
          <w:tab w:val="left" w:pos="1134"/>
        </w:tabs>
        <w:spacing w:before="0" w:after="0"/>
        <w:ind w:left="0" w:right="0" w:firstLine="70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На диаграммах классов отображаются некоторые классы и пакеты системы. Это статические картины фрагментов системы и связей между ними.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tabs>
          <w:tab w:val="left" w:pos="1134"/>
        </w:tabs>
        <w:spacing w:before="0" w:after="0"/>
        <w:ind w:left="0" w:right="0" w:firstLine="70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Диаграммы поведения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{{checkpoint_2}}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r>
        <w:t xml:space="preserve">Процесс рассуждения, в ходе которого осуществляется переход от некоторых исходных суждений, предпосылок к новым суждениям, заключениям. </w:t>
      </w:r>
    </w:p>
    <w:sectPr>
      <w:headerReference w:type="default" r:id="rId4"/>
      <w:footerReference w:type="default" r:id="rId5"/>
      <w:pgMar w:header="708" w:footer="708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164081583"/>
      <w:placeholder>
        <w:docPart w:val="DefaultPlaceholder_22675703"/>
      </w:placeholder>
      <w:richText/>
    </w:sdtPr>
    <w:sdtContent>
      <w:p>
        <w:pPr>
          <w:spacing w:before="0" w:after="0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spacing w:before="0" w:after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u w:val="none"/>
      </w:rPr>
      <w:drawing>
        <wp:anchor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6124575" cy="333375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6124575" cy="333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tyles" Target="style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8634-3137-4B81-B08D-B6F307E14DFE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