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6FA3C" w14:textId="06C5DD67" w:rsidR="00A3671B" w:rsidRPr="00295ACC" w:rsidRDefault="00A3671B" w:rsidP="005E6BD9">
      <w:pPr>
        <w:spacing w:line="480" w:lineRule="auto"/>
        <w:rPr>
          <w:rFonts w:ascii="Times New Roman" w:hAnsi="Times New Roman" w:cs="Times New Roman"/>
          <w:lang w:val="en-CA"/>
        </w:rPr>
      </w:pPr>
      <w:r w:rsidRPr="00295ACC">
        <w:rPr>
          <w:rFonts w:ascii="Times New Roman" w:hAnsi="Times New Roman" w:cs="Times New Roman"/>
          <w:lang w:val="en-CA"/>
        </w:rPr>
        <w:t xml:space="preserve">Laforge, M.P., M. Bonar &amp; E. Vander Wal. </w:t>
      </w:r>
      <w:r w:rsidR="006D34D9" w:rsidRPr="00776231">
        <w:rPr>
          <w:rFonts w:ascii="Times New Roman" w:hAnsi="Times New Roman" w:cs="Times New Roman"/>
          <w:lang w:val="en-CA"/>
        </w:rPr>
        <w:t>Tracking snowmelt to jump the green wave: Phenological drivers of migration in a northern ungulate</w:t>
      </w:r>
      <w:r w:rsidR="006D34D9" w:rsidRPr="00295ACC">
        <w:rPr>
          <w:rFonts w:ascii="Times New Roman" w:hAnsi="Times New Roman" w:cs="Times New Roman"/>
          <w:lang w:val="en-CA"/>
        </w:rPr>
        <w:t xml:space="preserve">. </w:t>
      </w:r>
      <w:r w:rsidRPr="00295ACC">
        <w:rPr>
          <w:rFonts w:ascii="Times New Roman" w:hAnsi="Times New Roman" w:cs="Times New Roman"/>
          <w:lang w:val="en-CA"/>
        </w:rPr>
        <w:t>Ecology.</w:t>
      </w:r>
    </w:p>
    <w:p w14:paraId="34CAB63A" w14:textId="46E84740" w:rsidR="00A3671B" w:rsidRPr="005A7A65" w:rsidRDefault="00A3671B" w:rsidP="005E6BD9">
      <w:pPr>
        <w:spacing w:line="480" w:lineRule="auto"/>
        <w:rPr>
          <w:rFonts w:ascii="Times New Roman" w:hAnsi="Times New Roman" w:cs="Times New Roman"/>
          <w:b/>
          <w:bCs/>
          <w:sz w:val="28"/>
          <w:szCs w:val="28"/>
          <w:lang w:val="en-CA"/>
        </w:rPr>
      </w:pPr>
      <w:r w:rsidRPr="005A7A65">
        <w:rPr>
          <w:rFonts w:ascii="Times New Roman" w:hAnsi="Times New Roman" w:cs="Times New Roman"/>
          <w:b/>
          <w:bCs/>
          <w:sz w:val="28"/>
          <w:szCs w:val="28"/>
          <w:lang w:val="en-CA"/>
        </w:rPr>
        <w:t>Appendix S</w:t>
      </w:r>
      <w:r>
        <w:rPr>
          <w:rFonts w:ascii="Times New Roman" w:hAnsi="Times New Roman" w:cs="Times New Roman"/>
          <w:b/>
          <w:bCs/>
          <w:sz w:val="28"/>
          <w:szCs w:val="28"/>
          <w:lang w:val="en-CA"/>
        </w:rPr>
        <w:t>3</w:t>
      </w:r>
      <w:r w:rsidRPr="005A7A65">
        <w:rPr>
          <w:rFonts w:ascii="Times New Roman" w:hAnsi="Times New Roman" w:cs="Times New Roman"/>
          <w:b/>
          <w:bCs/>
          <w:sz w:val="28"/>
          <w:szCs w:val="28"/>
          <w:lang w:val="en-CA"/>
        </w:rPr>
        <w:t xml:space="preserve">: </w:t>
      </w:r>
      <w:r>
        <w:rPr>
          <w:rFonts w:ascii="Times New Roman" w:hAnsi="Times New Roman" w:cs="Times New Roman"/>
          <w:b/>
          <w:bCs/>
          <w:sz w:val="28"/>
          <w:szCs w:val="28"/>
          <w:lang w:val="en-CA"/>
        </w:rPr>
        <w:t>Calculating fractional snow during migration</w:t>
      </w:r>
    </w:p>
    <w:p w14:paraId="4C52D1A5" w14:textId="03B479FC" w:rsidR="00555B0A" w:rsidRDefault="00A3671B" w:rsidP="005E6BD9">
      <w:pPr>
        <w:spacing w:line="480" w:lineRule="auto"/>
        <w:rPr>
          <w:rFonts w:ascii="Times New Roman" w:hAnsi="Times New Roman" w:cs="Times New Roman"/>
        </w:rPr>
      </w:pPr>
      <w:r>
        <w:rPr>
          <w:rFonts w:ascii="Times New Roman" w:hAnsi="Times New Roman" w:cs="Times New Roman"/>
        </w:rPr>
        <w:t>We calculated values of the normalized difference snow index (NDSI) and translated them to the fraction of ground covered by snow (fractional snow</w:t>
      </w:r>
      <w:r w:rsidR="00F230AC">
        <w:rPr>
          <w:rFonts w:ascii="Times New Roman" w:hAnsi="Times New Roman" w:cs="Times New Roman"/>
        </w:rPr>
        <w:t xml:space="preserve"> </w:t>
      </w:r>
      <w:r>
        <w:rPr>
          <w:rFonts w:ascii="Times New Roman" w:hAnsi="Times New Roman" w:cs="Times New Roman"/>
        </w:rPr>
        <w:t>cover) to determine fractional snow</w:t>
      </w:r>
      <w:r w:rsidR="00F230AC">
        <w:rPr>
          <w:rFonts w:ascii="Times New Roman" w:hAnsi="Times New Roman" w:cs="Times New Roman"/>
        </w:rPr>
        <w:t xml:space="preserve"> </w:t>
      </w:r>
      <w:r>
        <w:rPr>
          <w:rFonts w:ascii="Times New Roman" w:hAnsi="Times New Roman" w:cs="Times New Roman"/>
        </w:rPr>
        <w:t xml:space="preserve">cover during migration for all herds in our analysis and for individual herds. To do this, we sampled 1000 random points in each of our five replicate herds. We then used Google Earth Engine </w:t>
      </w:r>
      <w:r>
        <w:rPr>
          <w:rFonts w:ascii="Times New Roman" w:hAnsi="Times New Roman" w:cs="Times New Roman"/>
        </w:rPr>
        <w:fldChar w:fldCharType="begin" w:fldLock="1"/>
      </w:r>
      <w:r w:rsidR="005E6BD9">
        <w:rPr>
          <w:rFonts w:ascii="Times New Roman" w:hAnsi="Times New Roman" w:cs="Times New Roman"/>
        </w:rPr>
        <w:instrText>ADDIN CSL_CITATION {"citationItems":[{"id":"ITEM-1","itemData":{"DOI":"10.1016/j.rse.2017.06.031","ISSN":"00344257","abstract":"Google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Environment","id":"ITEM-1","issued":{"date-parts":[["2017"]]},"page":"18-27","publisher":"The Author(s)","title":"Google Earth Engine: Planetary-scale geospatial analysis for everyone","type":"article-journal","volume":"202"},"uris":["http://www.mendeley.com/documents/?uuid=9f5ad5e9-5d79-43af-ab4d-b8eab6e916f5"]}],"mendeley":{"formattedCitation":"(Gorelick et al. 2017)","plainTextFormattedCitation":"(Gorelick et al. 2017)","previouslyFormattedCitation":"(Gorelick et al. 2017)"},"properties":{"noteIndex":0},"schema":"https://github.com/citation-style-language/schema/raw/master/csl-citation.json"}</w:instrText>
      </w:r>
      <w:r>
        <w:rPr>
          <w:rFonts w:ascii="Times New Roman" w:hAnsi="Times New Roman" w:cs="Times New Roman"/>
        </w:rPr>
        <w:fldChar w:fldCharType="separate"/>
      </w:r>
      <w:r w:rsidRPr="00A3671B">
        <w:rPr>
          <w:rFonts w:ascii="Times New Roman" w:hAnsi="Times New Roman" w:cs="Times New Roman"/>
          <w:noProof/>
        </w:rPr>
        <w:t>(Gorelick et al. 2017)</w:t>
      </w:r>
      <w:r>
        <w:rPr>
          <w:rFonts w:ascii="Times New Roman" w:hAnsi="Times New Roman" w:cs="Times New Roman"/>
        </w:rPr>
        <w:fldChar w:fldCharType="end"/>
      </w:r>
      <w:r>
        <w:rPr>
          <w:rFonts w:ascii="Times New Roman" w:hAnsi="Times New Roman" w:cs="Times New Roman"/>
        </w:rPr>
        <w:t xml:space="preserve"> to extract the value of the NDSI at each location for early spring to summer (Julian day 45</w:t>
      </w:r>
      <w:r>
        <w:rPr>
          <w:rFonts w:ascii="Times New Roman" w:hAnsi="Times New Roman" w:cs="Times New Roman"/>
        </w:rPr>
        <w:softHyphen/>
        <w:t>–200) for each year of our study (2007–2013). We then calculated the day the NDSI first had a negative recorded value (our “day of snow</w:t>
      </w:r>
      <w:r w:rsidR="00CD7FA6">
        <w:rPr>
          <w:rFonts w:ascii="Times New Roman" w:hAnsi="Times New Roman" w:cs="Times New Roman"/>
        </w:rPr>
        <w:t>melt</w:t>
      </w:r>
      <w:r>
        <w:rPr>
          <w:rFonts w:ascii="Times New Roman" w:hAnsi="Times New Roman" w:cs="Times New Roman"/>
        </w:rPr>
        <w:t xml:space="preserve">”, see </w:t>
      </w:r>
      <w:r w:rsidR="00C31BBE">
        <w:rPr>
          <w:rFonts w:ascii="Times New Roman" w:hAnsi="Times New Roman" w:cs="Times New Roman"/>
        </w:rPr>
        <w:t xml:space="preserve">Main Text </w:t>
      </w:r>
      <w:r>
        <w:rPr>
          <w:rFonts w:ascii="Times New Roman" w:hAnsi="Times New Roman" w:cs="Times New Roman"/>
        </w:rPr>
        <w:t>Methods)</w:t>
      </w:r>
      <w:r w:rsidR="005E6BD9">
        <w:rPr>
          <w:rFonts w:ascii="Times New Roman" w:hAnsi="Times New Roman" w:cs="Times New Roman"/>
        </w:rPr>
        <w:t>.</w:t>
      </w:r>
      <w:r>
        <w:rPr>
          <w:rFonts w:ascii="Times New Roman" w:hAnsi="Times New Roman" w:cs="Times New Roman"/>
        </w:rPr>
        <w:t xml:space="preserve"> </w:t>
      </w:r>
      <w:r w:rsidR="005E6BD9">
        <w:rPr>
          <w:rFonts w:ascii="Times New Roman" w:hAnsi="Times New Roman" w:cs="Times New Roman"/>
        </w:rPr>
        <w:t>We took the peak values of our density distributions of mean days to NDSI = 0 for each individual/year for each herd (</w:t>
      </w:r>
      <w:r w:rsidR="00C31BBE">
        <w:rPr>
          <w:rFonts w:ascii="Times New Roman" w:hAnsi="Times New Roman" w:cs="Times New Roman"/>
        </w:rPr>
        <w:t>surfing indices, see Main Text Methods</w:t>
      </w:r>
      <w:r w:rsidR="005E6BD9">
        <w:rPr>
          <w:rFonts w:ascii="Times New Roman" w:hAnsi="Times New Roman" w:cs="Times New Roman"/>
        </w:rPr>
        <w:t xml:space="preserve">) </w:t>
      </w:r>
      <w:r>
        <w:rPr>
          <w:rFonts w:ascii="Times New Roman" w:hAnsi="Times New Roman" w:cs="Times New Roman"/>
        </w:rPr>
        <w:t xml:space="preserve">and calculated the NDSI value at </w:t>
      </w:r>
      <w:r w:rsidR="005E6BD9">
        <w:rPr>
          <w:rFonts w:ascii="Times New Roman" w:hAnsi="Times New Roman" w:cs="Times New Roman"/>
        </w:rPr>
        <w:t xml:space="preserve">that day </w:t>
      </w:r>
      <w:r w:rsidR="00C31BBE">
        <w:rPr>
          <w:rFonts w:ascii="Times New Roman" w:hAnsi="Times New Roman" w:cs="Times New Roman"/>
        </w:rPr>
        <w:t>for each herd and for all herds combined</w:t>
      </w:r>
      <w:r w:rsidR="005E6BD9">
        <w:rPr>
          <w:rFonts w:ascii="Times New Roman" w:hAnsi="Times New Roman" w:cs="Times New Roman"/>
        </w:rPr>
        <w:t xml:space="preserve">. We used the formula presented by </w:t>
      </w:r>
      <w:r w:rsidR="005E6BD9">
        <w:rPr>
          <w:rFonts w:ascii="Times New Roman" w:hAnsi="Times New Roman" w:cs="Times New Roman"/>
        </w:rPr>
        <w:fldChar w:fldCharType="begin" w:fldLock="1"/>
      </w:r>
      <w:r w:rsidR="005E6BD9">
        <w:rPr>
          <w:rFonts w:ascii="Times New Roman" w:hAnsi="Times New Roman" w:cs="Times New Roman"/>
        </w:rPr>
        <w:instrText>ADDIN CSL_CITATION {"citationItems":[{"id":"ITEM-1","itemData":{"DOI":"10.1016/j.rse.2003.10.016","ISSN":"00344257","abstract":"Snow-cover information is important for a wide variety of scientific studies, water supply and management applications. The NASA Earth Observing System (EOS) Moderate Resolution Imaging Spectroradiometer (MODIS) provides improved capabilities to observe snow cover from space and has been successfully using a normalized difference snow index (NDSI), along with threshold tests, to provide global, automated binary maps of snow cover. The NDSI is a spectral band ratio that takes advantage of the spectral differences of snow in short-wave infrared and visible MODIS spectral bands to identify snow versus other features in a scene. This study has evaluated whether there is a \"signal\" in the NDSI that could be used to estimate the fraction of snow within a 500 m MODIS pixel and thereby enhance the use of the NDSI approach in monitoring snow cover. Using Landsat 30-m observations as \"ground truth,\" the percentage of snow cover was calculated for 500-m cells. Then a regression relationship between 500-m NDSI observations and fractional snow cover was developed over three different snow-covered regions and tested over other areas. The overall results indicate that the relationship between fractional snow cover and NDSI is reasonably robust when applied locally and over large areas like North America. The relationship offers advantages relative to other published fractional snow cover algorithms developed for global-scale use with MODIS. This study indicates that the fraction of snow cover within a MODIS pixel using this approach can be provided with a mean absolute error less than 0.1 over the range from 0.0 to 1.0 in fractional snow cover. © 2003 Elsevier Inc. All rights reserved.","author":[{"dropping-particle":"V.","family":"Salomonson","given":"V.","non-dropping-particle":"","parse-names":false,"suffix":""},{"dropping-particle":"","family":"Appel","given":"I.","non-dropping-particle":"","parse-names":false,"suffix":""}],"container-title":"Remote Sensing of Environment","id":"ITEM-1","issue":"3","issued":{"date-parts":[["2004"]]},"page":"351-360","title":"Estimating fractional snow cover from MODIS using the normalized difference snow index","type":"article-journal","volume":"89"},"uris":["http://www.mendeley.com/documents/?uuid=dab56d1e-a477-4bb5-9ce2-a81c86003cca"]}],"mendeley":{"formattedCitation":"(Salomonson and Appel 2004)","manualFormatting":"Salomonson and Appel (2004)","plainTextFormattedCitation":"(Salomonson and Appel 2004)","previouslyFormattedCitation":"(Salomonson and Appel 2004)"},"properties":{"noteIndex":0},"schema":"https://github.com/citation-style-language/schema/raw/master/csl-citation.json"}</w:instrText>
      </w:r>
      <w:r w:rsidR="005E6BD9">
        <w:rPr>
          <w:rFonts w:ascii="Times New Roman" w:hAnsi="Times New Roman" w:cs="Times New Roman"/>
        </w:rPr>
        <w:fldChar w:fldCharType="separate"/>
      </w:r>
      <w:r w:rsidR="005E6BD9" w:rsidRPr="005E6BD9">
        <w:rPr>
          <w:rFonts w:ascii="Times New Roman" w:hAnsi="Times New Roman" w:cs="Times New Roman"/>
          <w:noProof/>
        </w:rPr>
        <w:t xml:space="preserve">Salomonson and Appel </w:t>
      </w:r>
      <w:r w:rsidR="005E6BD9">
        <w:rPr>
          <w:rFonts w:ascii="Times New Roman" w:hAnsi="Times New Roman" w:cs="Times New Roman"/>
          <w:noProof/>
        </w:rPr>
        <w:t>(</w:t>
      </w:r>
      <w:r w:rsidR="005E6BD9" w:rsidRPr="005E6BD9">
        <w:rPr>
          <w:rFonts w:ascii="Times New Roman" w:hAnsi="Times New Roman" w:cs="Times New Roman"/>
          <w:noProof/>
        </w:rPr>
        <w:t>2004)</w:t>
      </w:r>
      <w:r w:rsidR="005E6BD9">
        <w:rPr>
          <w:rFonts w:ascii="Times New Roman" w:hAnsi="Times New Roman" w:cs="Times New Roman"/>
        </w:rPr>
        <w:fldChar w:fldCharType="end"/>
      </w:r>
      <w:r w:rsidR="005E6BD9">
        <w:rPr>
          <w:rFonts w:ascii="Times New Roman" w:hAnsi="Times New Roman" w:cs="Times New Roman"/>
        </w:rPr>
        <w:t xml:space="preserve"> to calculate fractional snow</w:t>
      </w:r>
      <w:r w:rsidR="00F230AC">
        <w:rPr>
          <w:rFonts w:ascii="Times New Roman" w:hAnsi="Times New Roman" w:cs="Times New Roman"/>
        </w:rPr>
        <w:t xml:space="preserve"> </w:t>
      </w:r>
      <w:r w:rsidR="005E6BD9">
        <w:rPr>
          <w:rFonts w:ascii="Times New Roman" w:hAnsi="Times New Roman" w:cs="Times New Roman"/>
        </w:rPr>
        <w:t>cover from NDSI:</w:t>
      </w:r>
    </w:p>
    <w:p w14:paraId="7B73644A" w14:textId="34CEA547" w:rsidR="005E6BD9" w:rsidRDefault="005E6BD9" w:rsidP="005E6BD9">
      <w:pPr>
        <w:spacing w:line="480" w:lineRule="auto"/>
        <w:rPr>
          <w:rFonts w:ascii="Times New Roman" w:eastAsia="Times New Roman" w:hAnsi="Times New Roman" w:cs="Times New Roman"/>
          <w:color w:val="000000"/>
          <w:lang w:val="en-CA"/>
        </w:rPr>
      </w:pPr>
      <w:r>
        <w:rPr>
          <w:rFonts w:ascii="Times New Roman" w:hAnsi="Times New Roman" w:cs="Times New Roman"/>
        </w:rPr>
        <w:t>FRA: 0.</w:t>
      </w:r>
      <w:r w:rsidRPr="005E6BD9">
        <w:rPr>
          <w:rFonts w:ascii="Times New Roman" w:hAnsi="Times New Roman" w:cs="Times New Roman"/>
        </w:rPr>
        <w:t xml:space="preserve">06 + 1.21 </w:t>
      </w:r>
      <w:r w:rsidRPr="005E6BD9">
        <w:rPr>
          <w:rFonts w:ascii="Times New Roman" w:eastAsia="Times New Roman" w:hAnsi="Times New Roman" w:cs="Times New Roman"/>
          <w:color w:val="000000"/>
          <w:lang w:val="en-CA"/>
        </w:rPr>
        <w:t xml:space="preserve">× </w:t>
      </w:r>
      <w:r>
        <w:rPr>
          <w:rFonts w:ascii="Times New Roman" w:eastAsia="Times New Roman" w:hAnsi="Times New Roman" w:cs="Times New Roman"/>
          <w:color w:val="000000"/>
          <w:lang w:val="en-CA"/>
        </w:rPr>
        <w:t>NDSI</w:t>
      </w:r>
      <w:r>
        <w:rPr>
          <w:rFonts w:ascii="Times New Roman" w:eastAsia="Times New Roman" w:hAnsi="Times New Roman" w:cs="Times New Roman"/>
          <w:color w:val="000000"/>
          <w:lang w:val="en-CA"/>
        </w:rPr>
        <w:tab/>
      </w:r>
      <w:r>
        <w:rPr>
          <w:rFonts w:ascii="Times New Roman" w:eastAsia="Times New Roman" w:hAnsi="Times New Roman" w:cs="Times New Roman"/>
          <w:color w:val="000000"/>
          <w:lang w:val="en-CA"/>
        </w:rPr>
        <w:tab/>
      </w:r>
      <w:r>
        <w:rPr>
          <w:rFonts w:ascii="Times New Roman" w:eastAsia="Times New Roman" w:hAnsi="Times New Roman" w:cs="Times New Roman"/>
          <w:color w:val="000000"/>
          <w:lang w:val="en-CA"/>
        </w:rPr>
        <w:tab/>
      </w:r>
      <w:r>
        <w:rPr>
          <w:rFonts w:ascii="Times New Roman" w:eastAsia="Times New Roman" w:hAnsi="Times New Roman" w:cs="Times New Roman"/>
          <w:color w:val="000000"/>
          <w:lang w:val="en-CA"/>
        </w:rPr>
        <w:tab/>
      </w:r>
      <w:r>
        <w:rPr>
          <w:rFonts w:ascii="Times New Roman" w:eastAsia="Times New Roman" w:hAnsi="Times New Roman" w:cs="Times New Roman"/>
          <w:color w:val="000000"/>
          <w:lang w:val="en-CA"/>
        </w:rPr>
        <w:tab/>
      </w:r>
      <w:r>
        <w:rPr>
          <w:rFonts w:ascii="Times New Roman" w:eastAsia="Times New Roman" w:hAnsi="Times New Roman" w:cs="Times New Roman"/>
          <w:color w:val="000000"/>
          <w:lang w:val="en-CA"/>
        </w:rPr>
        <w:tab/>
        <w:t>[Formula S3]</w:t>
      </w:r>
    </w:p>
    <w:p w14:paraId="0C888BFE" w14:textId="77777777" w:rsidR="00490E83" w:rsidRDefault="00C31BBE" w:rsidP="00FD410E">
      <w:pPr>
        <w:spacing w:line="480" w:lineRule="auto"/>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For our pooled data with all herds, we found that the peak of migration occurred when fractional snow</w:t>
      </w:r>
      <w:r w:rsidR="00F230AC">
        <w:rPr>
          <w:rFonts w:ascii="Times New Roman" w:eastAsia="Times New Roman" w:hAnsi="Times New Roman" w:cs="Times New Roman"/>
          <w:color w:val="000000"/>
          <w:lang w:val="en-CA"/>
        </w:rPr>
        <w:t xml:space="preserve"> </w:t>
      </w:r>
      <w:r>
        <w:rPr>
          <w:rFonts w:ascii="Times New Roman" w:eastAsia="Times New Roman" w:hAnsi="Times New Roman" w:cs="Times New Roman"/>
          <w:color w:val="000000"/>
          <w:lang w:val="en-CA"/>
        </w:rPr>
        <w:t xml:space="preserve">cover was </w:t>
      </w:r>
      <w:r w:rsidR="00315178">
        <w:rPr>
          <w:rFonts w:ascii="Times New Roman" w:eastAsia="Times New Roman" w:hAnsi="Times New Roman" w:cs="Times New Roman"/>
          <w:color w:val="000000"/>
          <w:lang w:val="en-CA"/>
        </w:rPr>
        <w:t>71</w:t>
      </w:r>
      <w:r>
        <w:rPr>
          <w:rFonts w:ascii="Times New Roman" w:eastAsia="Times New Roman" w:hAnsi="Times New Roman" w:cs="Times New Roman"/>
          <w:color w:val="000000"/>
          <w:lang w:val="en-CA"/>
        </w:rPr>
        <w:t>% (</w:t>
      </w:r>
      <w:r w:rsidR="00E35AD5">
        <w:rPr>
          <w:rFonts w:ascii="Times New Roman" w:eastAsia="Times New Roman" w:hAnsi="Times New Roman" w:cs="Times New Roman"/>
          <w:color w:val="000000"/>
          <w:lang w:val="en-CA"/>
        </w:rPr>
        <w:t>SD</w:t>
      </w:r>
      <w:r>
        <w:rPr>
          <w:rFonts w:ascii="Times New Roman" w:eastAsia="Times New Roman" w:hAnsi="Times New Roman" w:cs="Times New Roman"/>
          <w:color w:val="000000"/>
          <w:lang w:val="en-CA"/>
        </w:rPr>
        <w:t xml:space="preserve"> = </w:t>
      </w:r>
      <w:r w:rsidR="00315178">
        <w:rPr>
          <w:rFonts w:ascii="Times New Roman" w:eastAsia="Times New Roman" w:hAnsi="Times New Roman" w:cs="Times New Roman"/>
          <w:color w:val="000000"/>
          <w:lang w:val="en-CA"/>
        </w:rPr>
        <w:t>25</w:t>
      </w:r>
      <w:r>
        <w:rPr>
          <w:rFonts w:ascii="Times New Roman" w:eastAsia="Times New Roman" w:hAnsi="Times New Roman" w:cs="Times New Roman"/>
          <w:color w:val="000000"/>
          <w:lang w:val="en-CA"/>
        </w:rPr>
        <w:t>%), see full Results below (Table S1 and Figure S1).</w:t>
      </w:r>
    </w:p>
    <w:p w14:paraId="52E20D34" w14:textId="77777777" w:rsidR="00490E83" w:rsidRPr="00490E83" w:rsidRDefault="00490E83" w:rsidP="00FD410E">
      <w:pPr>
        <w:spacing w:line="480" w:lineRule="auto"/>
        <w:rPr>
          <w:rFonts w:ascii="Times New Roman" w:eastAsia="Times New Roman" w:hAnsi="Times New Roman" w:cs="Times New Roman"/>
          <w:b/>
          <w:bCs/>
          <w:color w:val="000000"/>
          <w:lang w:val="en-CA"/>
        </w:rPr>
      </w:pPr>
      <w:r w:rsidRPr="00490E83">
        <w:rPr>
          <w:rFonts w:ascii="Times New Roman" w:eastAsia="Times New Roman" w:hAnsi="Times New Roman" w:cs="Times New Roman"/>
          <w:b/>
          <w:bCs/>
          <w:color w:val="000000"/>
          <w:lang w:val="en-CA"/>
        </w:rPr>
        <w:t>Literature cited:</w:t>
      </w:r>
    </w:p>
    <w:p w14:paraId="2DB5A2DE" w14:textId="01B32B5A" w:rsidR="00490E83" w:rsidRPr="00490E83" w:rsidRDefault="00490E83" w:rsidP="00490E83">
      <w:pPr>
        <w:widowControl w:val="0"/>
        <w:autoSpaceDE w:val="0"/>
        <w:autoSpaceDN w:val="0"/>
        <w:adjustRightInd w:val="0"/>
        <w:spacing w:line="480" w:lineRule="auto"/>
        <w:ind w:left="480" w:hanging="480"/>
        <w:rPr>
          <w:rFonts w:ascii="Times New Roman" w:hAnsi="Times New Roman" w:cs="Times New Roman"/>
          <w:noProof/>
        </w:rPr>
      </w:pPr>
      <w:r>
        <w:rPr>
          <w:rFonts w:ascii="Times New Roman" w:eastAsia="Times New Roman" w:hAnsi="Times New Roman" w:cs="Times New Roman"/>
          <w:lang w:val="en-CA"/>
        </w:rPr>
        <w:fldChar w:fldCharType="begin" w:fldLock="1"/>
      </w:r>
      <w:r>
        <w:rPr>
          <w:rFonts w:ascii="Times New Roman" w:eastAsia="Times New Roman" w:hAnsi="Times New Roman" w:cs="Times New Roman"/>
          <w:lang w:val="en-CA"/>
        </w:rPr>
        <w:instrText xml:space="preserve">ADDIN Mendeley Bibliography CSL_BIBLIOGRAPHY </w:instrText>
      </w:r>
      <w:r>
        <w:rPr>
          <w:rFonts w:ascii="Times New Roman" w:eastAsia="Times New Roman" w:hAnsi="Times New Roman" w:cs="Times New Roman"/>
          <w:lang w:val="en-CA"/>
        </w:rPr>
        <w:fldChar w:fldCharType="separate"/>
      </w:r>
      <w:r w:rsidRPr="00490E83">
        <w:rPr>
          <w:rFonts w:ascii="Times New Roman" w:hAnsi="Times New Roman" w:cs="Times New Roman"/>
          <w:noProof/>
        </w:rPr>
        <w:t>Gorelick, N., M. Hancher, M. Dixon, S. Ilyushchenko, D. Thau, and R. Moore. 2017. Google Earth Engine: Planetary-scale geospatial analysis for everyone. Remote Sensing of Environment 202:18–27.</w:t>
      </w:r>
    </w:p>
    <w:p w14:paraId="2C35FD0F" w14:textId="77777777" w:rsidR="00490E83" w:rsidRPr="00490E83" w:rsidRDefault="00490E83" w:rsidP="00490E83">
      <w:pPr>
        <w:widowControl w:val="0"/>
        <w:autoSpaceDE w:val="0"/>
        <w:autoSpaceDN w:val="0"/>
        <w:adjustRightInd w:val="0"/>
        <w:spacing w:line="480" w:lineRule="auto"/>
        <w:ind w:left="480" w:hanging="480"/>
        <w:rPr>
          <w:rFonts w:ascii="Times New Roman" w:hAnsi="Times New Roman" w:cs="Times New Roman"/>
          <w:noProof/>
        </w:rPr>
      </w:pPr>
      <w:r w:rsidRPr="00490E83">
        <w:rPr>
          <w:rFonts w:ascii="Times New Roman" w:hAnsi="Times New Roman" w:cs="Times New Roman"/>
          <w:noProof/>
        </w:rPr>
        <w:t>Salomonson, V. V., and I. Appel. 2004. Estimating fractional snow cover from MODIS using the normalized difference snow index. Remote Sensing of Environment 89:351–360.</w:t>
      </w:r>
    </w:p>
    <w:p w14:paraId="6093B5FA" w14:textId="1031C911" w:rsidR="005E6BD9" w:rsidRPr="00490E83" w:rsidRDefault="00490E83" w:rsidP="005E6BD9">
      <w:pPr>
        <w:spacing w:line="480" w:lineRule="auto"/>
        <w:rPr>
          <w:rFonts w:ascii="Times New Roman" w:eastAsia="Times New Roman" w:hAnsi="Times New Roman" w:cs="Times New Roman"/>
          <w:color w:val="000000"/>
          <w:lang w:val="en-CA"/>
        </w:rPr>
      </w:pPr>
      <w:r>
        <w:rPr>
          <w:rFonts w:ascii="Times New Roman" w:eastAsia="Times New Roman" w:hAnsi="Times New Roman" w:cs="Times New Roman"/>
          <w:lang w:val="en-CA"/>
        </w:rPr>
        <w:lastRenderedPageBreak/>
        <w:fldChar w:fldCharType="end"/>
      </w:r>
      <w:r w:rsidR="0032357C">
        <w:rPr>
          <w:rFonts w:ascii="Times New Roman" w:eastAsia="Times New Roman" w:hAnsi="Times New Roman" w:cs="Times New Roman"/>
          <w:lang w:val="en-CA"/>
        </w:rPr>
        <w:t xml:space="preserve">Table S1: </w:t>
      </w:r>
      <w:r w:rsidR="00BE6A49">
        <w:rPr>
          <w:rFonts w:ascii="Times New Roman" w:eastAsia="Times New Roman" w:hAnsi="Times New Roman" w:cs="Times New Roman"/>
          <w:lang w:val="en-CA"/>
        </w:rPr>
        <w:t>Summary of normalised difference snow index (NDSI) and fractional snow</w:t>
      </w:r>
      <w:r w:rsidR="00F230AC">
        <w:rPr>
          <w:rFonts w:ascii="Times New Roman" w:eastAsia="Times New Roman" w:hAnsi="Times New Roman" w:cs="Times New Roman"/>
          <w:lang w:val="en-CA"/>
        </w:rPr>
        <w:t xml:space="preserve"> </w:t>
      </w:r>
      <w:r w:rsidR="00BE6A49">
        <w:rPr>
          <w:rFonts w:ascii="Times New Roman" w:eastAsia="Times New Roman" w:hAnsi="Times New Roman" w:cs="Times New Roman"/>
          <w:lang w:val="en-CA"/>
        </w:rPr>
        <w:t>cover during migration of caribou (</w:t>
      </w:r>
      <w:r w:rsidR="00BE6A49" w:rsidRPr="00BE6A49">
        <w:rPr>
          <w:rFonts w:ascii="Times New Roman" w:eastAsia="Times New Roman" w:hAnsi="Times New Roman" w:cs="Times New Roman"/>
          <w:i/>
          <w:iCs/>
          <w:lang w:val="en-CA"/>
        </w:rPr>
        <w:t>Rangifer tarandus</w:t>
      </w:r>
      <w:r w:rsidR="00BE6A49">
        <w:rPr>
          <w:rFonts w:ascii="Times New Roman" w:eastAsia="Times New Roman" w:hAnsi="Times New Roman" w:cs="Times New Roman"/>
          <w:lang w:val="en-CA"/>
        </w:rPr>
        <w:t xml:space="preserve">, </w:t>
      </w:r>
      <w:r w:rsidR="00BE6A49" w:rsidRPr="00BE6A49">
        <w:rPr>
          <w:rFonts w:ascii="Times New Roman" w:eastAsia="Times New Roman" w:hAnsi="Times New Roman" w:cs="Times New Roman"/>
          <w:i/>
          <w:iCs/>
          <w:lang w:val="en-CA"/>
        </w:rPr>
        <w:t>n</w:t>
      </w:r>
      <w:r w:rsidR="00BE6A49">
        <w:rPr>
          <w:rFonts w:ascii="Times New Roman" w:eastAsia="Times New Roman" w:hAnsi="Times New Roman" w:cs="Times New Roman"/>
          <w:lang w:val="en-CA"/>
        </w:rPr>
        <w:t xml:space="preserve"> = 94) during spring in Newfoundland Canada from 2007–2013. Surfing index represents the d</w:t>
      </w:r>
      <w:r w:rsidR="00186783">
        <w:rPr>
          <w:rFonts w:ascii="Times New Roman" w:eastAsia="Times New Roman" w:hAnsi="Times New Roman" w:cs="Times New Roman"/>
          <w:lang w:val="en-CA"/>
        </w:rPr>
        <w:t xml:space="preserve">ay at which density distributions for </w:t>
      </w:r>
      <w:r w:rsidR="00BE6A49">
        <w:rPr>
          <w:rFonts w:ascii="Times New Roman" w:eastAsia="Times New Roman" w:hAnsi="Times New Roman" w:cs="Times New Roman"/>
          <w:lang w:val="en-CA"/>
        </w:rPr>
        <w:t xml:space="preserve">mean </w:t>
      </w:r>
      <w:r w:rsidR="00186783">
        <w:rPr>
          <w:rFonts w:ascii="Times New Roman" w:eastAsia="Times New Roman" w:hAnsi="Times New Roman" w:cs="Times New Roman"/>
          <w:lang w:val="en-CA"/>
        </w:rPr>
        <w:t>days to snow</w:t>
      </w:r>
      <w:r w:rsidR="00CD7FA6">
        <w:rPr>
          <w:rFonts w:ascii="Times New Roman" w:eastAsia="Times New Roman" w:hAnsi="Times New Roman" w:cs="Times New Roman"/>
          <w:lang w:val="en-CA"/>
        </w:rPr>
        <w:t>melt</w:t>
      </w:r>
      <w:r w:rsidR="00186783">
        <w:rPr>
          <w:rFonts w:ascii="Times New Roman" w:eastAsia="Times New Roman" w:hAnsi="Times New Roman" w:cs="Times New Roman"/>
          <w:lang w:val="en-CA"/>
        </w:rPr>
        <w:t xml:space="preserve"> (first day of year in which the </w:t>
      </w:r>
      <w:r w:rsidR="00BE6A49">
        <w:rPr>
          <w:rFonts w:ascii="Times New Roman" w:eastAsia="Times New Roman" w:hAnsi="Times New Roman" w:cs="Times New Roman"/>
          <w:lang w:val="en-CA"/>
        </w:rPr>
        <w:t>NDSI</w:t>
      </w:r>
      <w:r w:rsidR="00186783">
        <w:rPr>
          <w:rFonts w:ascii="Times New Roman" w:eastAsia="Times New Roman" w:hAnsi="Times New Roman" w:cs="Times New Roman"/>
          <w:lang w:val="en-CA"/>
        </w:rPr>
        <w:t xml:space="preserve"> recorded a negative value) for each individual-year combination were highest for all herds combined and each individual herd</w:t>
      </w:r>
      <w:r w:rsidR="00BE6A49">
        <w:rPr>
          <w:rFonts w:ascii="Times New Roman" w:eastAsia="Times New Roman" w:hAnsi="Times New Roman" w:cs="Times New Roman"/>
          <w:lang w:val="en-CA"/>
        </w:rPr>
        <w:t xml:space="preserve"> (surfing index).</w:t>
      </w:r>
      <w:r w:rsidR="00186783">
        <w:rPr>
          <w:rFonts w:ascii="Times New Roman" w:eastAsia="Times New Roman" w:hAnsi="Times New Roman" w:cs="Times New Roman"/>
          <w:lang w:val="en-CA"/>
        </w:rPr>
        <w:t xml:space="preserve"> </w:t>
      </w:r>
      <w:r w:rsidR="00BE6A49">
        <w:rPr>
          <w:rFonts w:ascii="Times New Roman" w:eastAsia="Times New Roman" w:hAnsi="Times New Roman" w:cs="Times New Roman"/>
          <w:lang w:val="en-CA"/>
        </w:rPr>
        <w:t>M</w:t>
      </w:r>
      <w:r w:rsidR="00186783">
        <w:rPr>
          <w:rFonts w:ascii="Times New Roman" w:eastAsia="Times New Roman" w:hAnsi="Times New Roman" w:cs="Times New Roman"/>
          <w:lang w:val="en-CA"/>
        </w:rPr>
        <w:t>ean NDSI and fractional snow cover values</w:t>
      </w:r>
      <w:r w:rsidR="00BE6A49">
        <w:rPr>
          <w:rFonts w:ascii="Times New Roman" w:eastAsia="Times New Roman" w:hAnsi="Times New Roman" w:cs="Times New Roman"/>
          <w:lang w:val="en-CA"/>
        </w:rPr>
        <w:t xml:space="preserve"> are</w:t>
      </w:r>
      <w:r w:rsidR="00186783">
        <w:rPr>
          <w:rFonts w:ascii="Times New Roman" w:eastAsia="Times New Roman" w:hAnsi="Times New Roman" w:cs="Times New Roman"/>
          <w:lang w:val="en-CA"/>
        </w:rPr>
        <w:t xml:space="preserve"> estimated for those days (rounded to nearest integer value</w:t>
      </w:r>
      <w:r w:rsidR="00BE6A49">
        <w:rPr>
          <w:rFonts w:ascii="Times New Roman" w:eastAsia="Times New Roman" w:hAnsi="Times New Roman" w:cs="Times New Roman"/>
          <w:lang w:val="en-CA"/>
        </w:rPr>
        <w:t>, + SD</w:t>
      </w:r>
      <w:r w:rsidR="00186783">
        <w:rPr>
          <w:rFonts w:ascii="Times New Roman" w:eastAsia="Times New Roman" w:hAnsi="Times New Roman" w:cs="Times New Roman"/>
          <w:lang w:val="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559"/>
        <w:gridCol w:w="2268"/>
        <w:gridCol w:w="3686"/>
      </w:tblGrid>
      <w:tr w:rsidR="00BE6A49" w:rsidRPr="00BE6A49" w14:paraId="42C77620" w14:textId="77777777" w:rsidTr="00BE6A49">
        <w:trPr>
          <w:trHeight w:val="320"/>
        </w:trPr>
        <w:tc>
          <w:tcPr>
            <w:tcW w:w="1843" w:type="dxa"/>
            <w:tcBorders>
              <w:top w:val="single" w:sz="4" w:space="0" w:color="auto"/>
              <w:bottom w:val="single" w:sz="4" w:space="0" w:color="auto"/>
            </w:tcBorders>
            <w:noWrap/>
            <w:hideMark/>
          </w:tcPr>
          <w:p w14:paraId="12182897" w14:textId="18B7CD3A" w:rsidR="00BE6A49" w:rsidRPr="00BE6A49" w:rsidRDefault="00BE6A49" w:rsidP="00BE6A49">
            <w:pPr>
              <w:spacing w:line="480" w:lineRule="auto"/>
              <w:rPr>
                <w:rFonts w:ascii="Times New Roman" w:hAnsi="Times New Roman" w:cs="Times New Roman"/>
              </w:rPr>
            </w:pPr>
            <w:r>
              <w:rPr>
                <w:rFonts w:ascii="Times New Roman" w:hAnsi="Times New Roman" w:cs="Times New Roman"/>
              </w:rPr>
              <w:t>H</w:t>
            </w:r>
            <w:r w:rsidRPr="00BE6A49">
              <w:rPr>
                <w:rFonts w:ascii="Times New Roman" w:hAnsi="Times New Roman" w:cs="Times New Roman"/>
              </w:rPr>
              <w:t>erd</w:t>
            </w:r>
          </w:p>
        </w:tc>
        <w:tc>
          <w:tcPr>
            <w:tcW w:w="1559" w:type="dxa"/>
            <w:tcBorders>
              <w:top w:val="single" w:sz="4" w:space="0" w:color="auto"/>
              <w:bottom w:val="single" w:sz="4" w:space="0" w:color="auto"/>
            </w:tcBorders>
            <w:noWrap/>
            <w:hideMark/>
          </w:tcPr>
          <w:p w14:paraId="43D9DE21" w14:textId="6A88694C" w:rsidR="00BE6A49" w:rsidRPr="00BE6A49" w:rsidRDefault="00BE6A49" w:rsidP="00BE6A49">
            <w:pPr>
              <w:spacing w:line="480" w:lineRule="auto"/>
              <w:rPr>
                <w:rFonts w:ascii="Times New Roman" w:hAnsi="Times New Roman" w:cs="Times New Roman"/>
              </w:rPr>
            </w:pPr>
            <w:r>
              <w:rPr>
                <w:rFonts w:ascii="Times New Roman" w:hAnsi="Times New Roman" w:cs="Times New Roman"/>
              </w:rPr>
              <w:t>Surfing index</w:t>
            </w:r>
          </w:p>
        </w:tc>
        <w:tc>
          <w:tcPr>
            <w:tcW w:w="2268" w:type="dxa"/>
            <w:tcBorders>
              <w:top w:val="single" w:sz="4" w:space="0" w:color="auto"/>
              <w:bottom w:val="single" w:sz="4" w:space="0" w:color="auto"/>
            </w:tcBorders>
            <w:noWrap/>
            <w:hideMark/>
          </w:tcPr>
          <w:p w14:paraId="182B7773" w14:textId="4532CA24" w:rsidR="00BE6A49" w:rsidRPr="00BE6A49" w:rsidRDefault="00BE6A49" w:rsidP="00BE6A49">
            <w:pPr>
              <w:spacing w:line="480" w:lineRule="auto"/>
              <w:rPr>
                <w:rFonts w:ascii="Times New Roman" w:hAnsi="Times New Roman" w:cs="Times New Roman"/>
              </w:rPr>
            </w:pPr>
            <w:r>
              <w:rPr>
                <w:rFonts w:ascii="Times New Roman" w:hAnsi="Times New Roman" w:cs="Times New Roman"/>
              </w:rPr>
              <w:t>Mean NDSI (+ SD)</w:t>
            </w:r>
          </w:p>
        </w:tc>
        <w:tc>
          <w:tcPr>
            <w:tcW w:w="3686" w:type="dxa"/>
            <w:tcBorders>
              <w:top w:val="single" w:sz="4" w:space="0" w:color="auto"/>
              <w:bottom w:val="single" w:sz="4" w:space="0" w:color="auto"/>
            </w:tcBorders>
            <w:noWrap/>
            <w:hideMark/>
          </w:tcPr>
          <w:p w14:paraId="569239FD" w14:textId="294E0F81" w:rsidR="00BE6A49" w:rsidRPr="00BE6A49" w:rsidRDefault="00BE6A49" w:rsidP="00BE6A49">
            <w:pPr>
              <w:spacing w:line="480" w:lineRule="auto"/>
              <w:rPr>
                <w:rFonts w:ascii="Times New Roman" w:hAnsi="Times New Roman" w:cs="Times New Roman"/>
              </w:rPr>
            </w:pPr>
            <w:r>
              <w:rPr>
                <w:rFonts w:ascii="Times New Roman" w:hAnsi="Times New Roman" w:cs="Times New Roman"/>
              </w:rPr>
              <w:t>Mean fractional snow cover (+ SD)</w:t>
            </w:r>
          </w:p>
        </w:tc>
      </w:tr>
      <w:tr w:rsidR="00AD2182" w:rsidRPr="00BE6A49" w14:paraId="75C56CCF" w14:textId="77777777" w:rsidTr="00B62E6D">
        <w:trPr>
          <w:trHeight w:val="320"/>
        </w:trPr>
        <w:tc>
          <w:tcPr>
            <w:tcW w:w="1843" w:type="dxa"/>
            <w:tcBorders>
              <w:top w:val="single" w:sz="4" w:space="0" w:color="auto"/>
            </w:tcBorders>
            <w:noWrap/>
            <w:vAlign w:val="bottom"/>
            <w:hideMark/>
          </w:tcPr>
          <w:p w14:paraId="790B93F2" w14:textId="5D651370"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All</w:t>
            </w:r>
          </w:p>
        </w:tc>
        <w:tc>
          <w:tcPr>
            <w:tcW w:w="1559" w:type="dxa"/>
            <w:tcBorders>
              <w:top w:val="single" w:sz="4" w:space="0" w:color="auto"/>
            </w:tcBorders>
            <w:noWrap/>
            <w:vAlign w:val="bottom"/>
            <w:hideMark/>
          </w:tcPr>
          <w:p w14:paraId="4C37A173" w14:textId="7B902EFF"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-7.04</w:t>
            </w:r>
          </w:p>
        </w:tc>
        <w:tc>
          <w:tcPr>
            <w:tcW w:w="2268" w:type="dxa"/>
            <w:tcBorders>
              <w:top w:val="single" w:sz="4" w:space="0" w:color="auto"/>
            </w:tcBorders>
            <w:noWrap/>
            <w:vAlign w:val="bottom"/>
            <w:hideMark/>
          </w:tcPr>
          <w:p w14:paraId="0D39A068" w14:textId="5D6BF7A5"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0.53 (0.16)</w:t>
            </w:r>
          </w:p>
        </w:tc>
        <w:tc>
          <w:tcPr>
            <w:tcW w:w="3686" w:type="dxa"/>
            <w:tcBorders>
              <w:top w:val="single" w:sz="4" w:space="0" w:color="auto"/>
            </w:tcBorders>
            <w:noWrap/>
            <w:vAlign w:val="bottom"/>
            <w:hideMark/>
          </w:tcPr>
          <w:p w14:paraId="76CB7145" w14:textId="039E5264"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71</w:t>
            </w:r>
            <w:r>
              <w:rPr>
                <w:rFonts w:ascii="Times New Roman" w:hAnsi="Times New Roman" w:cs="Times New Roman"/>
                <w:color w:val="000000"/>
              </w:rPr>
              <w:t>%</w:t>
            </w:r>
            <w:r w:rsidRPr="00AD2182">
              <w:rPr>
                <w:rFonts w:ascii="Times New Roman" w:hAnsi="Times New Roman" w:cs="Times New Roman"/>
                <w:color w:val="000000"/>
              </w:rPr>
              <w:t xml:space="preserve"> (25</w:t>
            </w:r>
            <w:r>
              <w:rPr>
                <w:rFonts w:ascii="Times New Roman" w:hAnsi="Times New Roman" w:cs="Times New Roman"/>
                <w:color w:val="000000"/>
              </w:rPr>
              <w:t>%</w:t>
            </w:r>
            <w:r w:rsidRPr="00AD2182">
              <w:rPr>
                <w:rFonts w:ascii="Times New Roman" w:hAnsi="Times New Roman" w:cs="Times New Roman"/>
                <w:color w:val="000000"/>
              </w:rPr>
              <w:t>)</w:t>
            </w:r>
          </w:p>
        </w:tc>
      </w:tr>
      <w:tr w:rsidR="00AD2182" w:rsidRPr="00BE6A49" w14:paraId="4E1967CA" w14:textId="77777777" w:rsidTr="00B62E6D">
        <w:trPr>
          <w:trHeight w:val="320"/>
        </w:trPr>
        <w:tc>
          <w:tcPr>
            <w:tcW w:w="1843" w:type="dxa"/>
            <w:noWrap/>
            <w:vAlign w:val="bottom"/>
            <w:hideMark/>
          </w:tcPr>
          <w:p w14:paraId="31EC2E12" w14:textId="7029FC9A" w:rsidR="00AD2182" w:rsidRPr="00AD2182" w:rsidRDefault="00AD2182" w:rsidP="00AD2182">
            <w:pPr>
              <w:spacing w:line="480" w:lineRule="auto"/>
              <w:rPr>
                <w:rFonts w:ascii="Times New Roman" w:hAnsi="Times New Roman" w:cs="Times New Roman"/>
              </w:rPr>
            </w:pPr>
            <w:proofErr w:type="spellStart"/>
            <w:r w:rsidRPr="00AD2182">
              <w:rPr>
                <w:rFonts w:ascii="Times New Roman" w:hAnsi="Times New Roman" w:cs="Times New Roman"/>
                <w:color w:val="000000"/>
              </w:rPr>
              <w:t>Buchans</w:t>
            </w:r>
            <w:proofErr w:type="spellEnd"/>
          </w:p>
        </w:tc>
        <w:tc>
          <w:tcPr>
            <w:tcW w:w="1559" w:type="dxa"/>
            <w:noWrap/>
            <w:vAlign w:val="bottom"/>
            <w:hideMark/>
          </w:tcPr>
          <w:p w14:paraId="4CB03F88" w14:textId="5AED1E23"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-6.3</w:t>
            </w:r>
            <w:r w:rsidR="00315178">
              <w:rPr>
                <w:rFonts w:ascii="Times New Roman" w:hAnsi="Times New Roman" w:cs="Times New Roman"/>
                <w:color w:val="000000"/>
              </w:rPr>
              <w:t>0</w:t>
            </w:r>
          </w:p>
        </w:tc>
        <w:tc>
          <w:tcPr>
            <w:tcW w:w="2268" w:type="dxa"/>
            <w:noWrap/>
            <w:vAlign w:val="bottom"/>
            <w:hideMark/>
          </w:tcPr>
          <w:p w14:paraId="208219D4" w14:textId="709FD3E6"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0.49 (0.16)</w:t>
            </w:r>
          </w:p>
        </w:tc>
        <w:tc>
          <w:tcPr>
            <w:tcW w:w="3686" w:type="dxa"/>
            <w:noWrap/>
            <w:vAlign w:val="bottom"/>
            <w:hideMark/>
          </w:tcPr>
          <w:p w14:paraId="3A259031" w14:textId="6F786CBE"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65</w:t>
            </w:r>
            <w:r>
              <w:rPr>
                <w:rFonts w:ascii="Times New Roman" w:hAnsi="Times New Roman" w:cs="Times New Roman"/>
                <w:color w:val="000000"/>
              </w:rPr>
              <w:t>%</w:t>
            </w:r>
            <w:r w:rsidRPr="00AD2182">
              <w:rPr>
                <w:rFonts w:ascii="Times New Roman" w:hAnsi="Times New Roman" w:cs="Times New Roman"/>
                <w:color w:val="000000"/>
              </w:rPr>
              <w:t xml:space="preserve"> (25</w:t>
            </w:r>
            <w:r>
              <w:rPr>
                <w:rFonts w:ascii="Times New Roman" w:hAnsi="Times New Roman" w:cs="Times New Roman"/>
                <w:color w:val="000000"/>
              </w:rPr>
              <w:t>%</w:t>
            </w:r>
            <w:r w:rsidRPr="00AD2182">
              <w:rPr>
                <w:rFonts w:ascii="Times New Roman" w:hAnsi="Times New Roman" w:cs="Times New Roman"/>
                <w:color w:val="000000"/>
              </w:rPr>
              <w:t>)</w:t>
            </w:r>
          </w:p>
        </w:tc>
      </w:tr>
      <w:tr w:rsidR="00AD2182" w:rsidRPr="00BE6A49" w14:paraId="15D53F1D" w14:textId="77777777" w:rsidTr="00B62E6D">
        <w:trPr>
          <w:trHeight w:val="320"/>
        </w:trPr>
        <w:tc>
          <w:tcPr>
            <w:tcW w:w="1843" w:type="dxa"/>
            <w:noWrap/>
            <w:vAlign w:val="bottom"/>
            <w:hideMark/>
          </w:tcPr>
          <w:p w14:paraId="3FAF8EDE" w14:textId="531EECAB"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Grey River</w:t>
            </w:r>
          </w:p>
        </w:tc>
        <w:tc>
          <w:tcPr>
            <w:tcW w:w="1559" w:type="dxa"/>
            <w:noWrap/>
            <w:vAlign w:val="bottom"/>
            <w:hideMark/>
          </w:tcPr>
          <w:p w14:paraId="4D08B65C" w14:textId="5CFAA9A1"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-8.39</w:t>
            </w:r>
          </w:p>
        </w:tc>
        <w:tc>
          <w:tcPr>
            <w:tcW w:w="2268" w:type="dxa"/>
            <w:noWrap/>
            <w:vAlign w:val="bottom"/>
            <w:hideMark/>
          </w:tcPr>
          <w:p w14:paraId="6248CDD9" w14:textId="1BB385A1"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0.54 (0.15)</w:t>
            </w:r>
          </w:p>
        </w:tc>
        <w:tc>
          <w:tcPr>
            <w:tcW w:w="3686" w:type="dxa"/>
            <w:noWrap/>
            <w:vAlign w:val="bottom"/>
            <w:hideMark/>
          </w:tcPr>
          <w:p w14:paraId="1E0DE34A" w14:textId="5FABCAE9"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72</w:t>
            </w:r>
            <w:r>
              <w:rPr>
                <w:rFonts w:ascii="Times New Roman" w:hAnsi="Times New Roman" w:cs="Times New Roman"/>
                <w:color w:val="000000"/>
              </w:rPr>
              <w:t>%</w:t>
            </w:r>
            <w:r w:rsidRPr="00AD2182">
              <w:rPr>
                <w:rFonts w:ascii="Times New Roman" w:hAnsi="Times New Roman" w:cs="Times New Roman"/>
                <w:color w:val="000000"/>
              </w:rPr>
              <w:t xml:space="preserve"> (24</w:t>
            </w:r>
            <w:r>
              <w:rPr>
                <w:rFonts w:ascii="Times New Roman" w:hAnsi="Times New Roman" w:cs="Times New Roman"/>
                <w:color w:val="000000"/>
              </w:rPr>
              <w:t>%</w:t>
            </w:r>
            <w:r w:rsidRPr="00AD2182">
              <w:rPr>
                <w:rFonts w:ascii="Times New Roman" w:hAnsi="Times New Roman" w:cs="Times New Roman"/>
                <w:color w:val="000000"/>
              </w:rPr>
              <w:t>)</w:t>
            </w:r>
          </w:p>
        </w:tc>
      </w:tr>
      <w:tr w:rsidR="00AD2182" w:rsidRPr="00BE6A49" w14:paraId="7C552FFB" w14:textId="77777777" w:rsidTr="00B62E6D">
        <w:trPr>
          <w:trHeight w:val="320"/>
        </w:trPr>
        <w:tc>
          <w:tcPr>
            <w:tcW w:w="1843" w:type="dxa"/>
            <w:noWrap/>
            <w:vAlign w:val="bottom"/>
            <w:hideMark/>
          </w:tcPr>
          <w:p w14:paraId="30E2FBFA" w14:textId="537D22E5" w:rsidR="00AD2182" w:rsidRPr="00AD2182" w:rsidRDefault="00AD2182" w:rsidP="00AD2182">
            <w:pPr>
              <w:spacing w:line="480" w:lineRule="auto"/>
              <w:rPr>
                <w:rFonts w:ascii="Times New Roman" w:hAnsi="Times New Roman" w:cs="Times New Roman"/>
              </w:rPr>
            </w:pPr>
            <w:proofErr w:type="spellStart"/>
            <w:r w:rsidRPr="00AD2182">
              <w:rPr>
                <w:rFonts w:ascii="Times New Roman" w:hAnsi="Times New Roman" w:cs="Times New Roman"/>
                <w:color w:val="000000"/>
              </w:rPr>
              <w:t>Lapoile</w:t>
            </w:r>
            <w:proofErr w:type="spellEnd"/>
          </w:p>
        </w:tc>
        <w:tc>
          <w:tcPr>
            <w:tcW w:w="1559" w:type="dxa"/>
            <w:noWrap/>
            <w:vAlign w:val="bottom"/>
            <w:hideMark/>
          </w:tcPr>
          <w:p w14:paraId="0EE96164" w14:textId="4CA3CAC5"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-17.23</w:t>
            </w:r>
          </w:p>
        </w:tc>
        <w:tc>
          <w:tcPr>
            <w:tcW w:w="2268" w:type="dxa"/>
            <w:noWrap/>
            <w:vAlign w:val="bottom"/>
            <w:hideMark/>
          </w:tcPr>
          <w:p w14:paraId="2A49FC51" w14:textId="14D1DEE1"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0.67 (0.15)</w:t>
            </w:r>
          </w:p>
        </w:tc>
        <w:tc>
          <w:tcPr>
            <w:tcW w:w="3686" w:type="dxa"/>
            <w:noWrap/>
            <w:vAlign w:val="bottom"/>
            <w:hideMark/>
          </w:tcPr>
          <w:p w14:paraId="736171BC" w14:textId="3FB030B0"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88</w:t>
            </w:r>
            <w:r>
              <w:rPr>
                <w:rFonts w:ascii="Times New Roman" w:hAnsi="Times New Roman" w:cs="Times New Roman"/>
                <w:color w:val="000000"/>
              </w:rPr>
              <w:t>%</w:t>
            </w:r>
            <w:r w:rsidRPr="00AD2182">
              <w:rPr>
                <w:rFonts w:ascii="Times New Roman" w:hAnsi="Times New Roman" w:cs="Times New Roman"/>
                <w:color w:val="000000"/>
              </w:rPr>
              <w:t xml:space="preserve"> (24</w:t>
            </w:r>
            <w:r>
              <w:rPr>
                <w:rFonts w:ascii="Times New Roman" w:hAnsi="Times New Roman" w:cs="Times New Roman"/>
                <w:color w:val="000000"/>
              </w:rPr>
              <w:t>%</w:t>
            </w:r>
            <w:r w:rsidRPr="00AD2182">
              <w:rPr>
                <w:rFonts w:ascii="Times New Roman" w:hAnsi="Times New Roman" w:cs="Times New Roman"/>
                <w:color w:val="000000"/>
              </w:rPr>
              <w:t>)</w:t>
            </w:r>
          </w:p>
        </w:tc>
      </w:tr>
      <w:tr w:rsidR="00AD2182" w:rsidRPr="00BE6A49" w14:paraId="2A53B97B" w14:textId="77777777" w:rsidTr="00B62E6D">
        <w:trPr>
          <w:trHeight w:val="320"/>
        </w:trPr>
        <w:tc>
          <w:tcPr>
            <w:tcW w:w="1843" w:type="dxa"/>
            <w:noWrap/>
            <w:vAlign w:val="bottom"/>
            <w:hideMark/>
          </w:tcPr>
          <w:p w14:paraId="6B1EA598" w14:textId="579F6AE4"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Middle Ridge</w:t>
            </w:r>
          </w:p>
        </w:tc>
        <w:tc>
          <w:tcPr>
            <w:tcW w:w="1559" w:type="dxa"/>
            <w:noWrap/>
            <w:vAlign w:val="bottom"/>
            <w:hideMark/>
          </w:tcPr>
          <w:p w14:paraId="11C3AA56" w14:textId="09BD9A1B"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1.41</w:t>
            </w:r>
          </w:p>
        </w:tc>
        <w:tc>
          <w:tcPr>
            <w:tcW w:w="2268" w:type="dxa"/>
            <w:noWrap/>
            <w:vAlign w:val="bottom"/>
            <w:hideMark/>
          </w:tcPr>
          <w:p w14:paraId="1A6A714C" w14:textId="74983DDC"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-0.15 (-0.15)</w:t>
            </w:r>
          </w:p>
        </w:tc>
        <w:tc>
          <w:tcPr>
            <w:tcW w:w="3686" w:type="dxa"/>
            <w:noWrap/>
            <w:vAlign w:val="bottom"/>
            <w:hideMark/>
          </w:tcPr>
          <w:p w14:paraId="0089321A" w14:textId="2D58C37A"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0</w:t>
            </w:r>
            <w:r>
              <w:rPr>
                <w:rFonts w:ascii="Times New Roman" w:hAnsi="Times New Roman" w:cs="Times New Roman"/>
                <w:color w:val="000000"/>
              </w:rPr>
              <w:t>%</w:t>
            </w:r>
            <w:r w:rsidRPr="00AD2182">
              <w:rPr>
                <w:rFonts w:ascii="Times New Roman" w:hAnsi="Times New Roman" w:cs="Times New Roman"/>
                <w:color w:val="000000"/>
              </w:rPr>
              <w:t xml:space="preserve"> (0</w:t>
            </w:r>
            <w:r>
              <w:rPr>
                <w:rFonts w:ascii="Times New Roman" w:hAnsi="Times New Roman" w:cs="Times New Roman"/>
                <w:color w:val="000000"/>
              </w:rPr>
              <w:t>%</w:t>
            </w:r>
            <w:r w:rsidRPr="00AD2182">
              <w:rPr>
                <w:rFonts w:ascii="Times New Roman" w:hAnsi="Times New Roman" w:cs="Times New Roman"/>
                <w:color w:val="000000"/>
              </w:rPr>
              <w:t>)</w:t>
            </w:r>
          </w:p>
        </w:tc>
      </w:tr>
      <w:tr w:rsidR="00AD2182" w:rsidRPr="00BE6A49" w14:paraId="47851759" w14:textId="77777777" w:rsidTr="00B62E6D">
        <w:trPr>
          <w:trHeight w:val="320"/>
        </w:trPr>
        <w:tc>
          <w:tcPr>
            <w:tcW w:w="1843" w:type="dxa"/>
            <w:tcBorders>
              <w:bottom w:val="single" w:sz="4" w:space="0" w:color="auto"/>
            </w:tcBorders>
            <w:noWrap/>
            <w:vAlign w:val="bottom"/>
            <w:hideMark/>
          </w:tcPr>
          <w:p w14:paraId="68FF79B3" w14:textId="1B6620F1"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Topsails</w:t>
            </w:r>
          </w:p>
        </w:tc>
        <w:tc>
          <w:tcPr>
            <w:tcW w:w="1559" w:type="dxa"/>
            <w:tcBorders>
              <w:bottom w:val="single" w:sz="4" w:space="0" w:color="auto"/>
            </w:tcBorders>
            <w:noWrap/>
            <w:vAlign w:val="bottom"/>
            <w:hideMark/>
          </w:tcPr>
          <w:p w14:paraId="2BECC173" w14:textId="07DA9A76"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-3.08</w:t>
            </w:r>
          </w:p>
        </w:tc>
        <w:tc>
          <w:tcPr>
            <w:tcW w:w="2268" w:type="dxa"/>
            <w:tcBorders>
              <w:bottom w:val="single" w:sz="4" w:space="0" w:color="auto"/>
            </w:tcBorders>
            <w:noWrap/>
            <w:vAlign w:val="bottom"/>
            <w:hideMark/>
          </w:tcPr>
          <w:p w14:paraId="34C62CD9" w14:textId="181A682D"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0.38 (0.2</w:t>
            </w:r>
            <w:r w:rsidR="00315178">
              <w:rPr>
                <w:rFonts w:ascii="Times New Roman" w:hAnsi="Times New Roman" w:cs="Times New Roman"/>
                <w:color w:val="000000"/>
              </w:rPr>
              <w:t>0</w:t>
            </w:r>
            <w:r w:rsidRPr="00AD2182">
              <w:rPr>
                <w:rFonts w:ascii="Times New Roman" w:hAnsi="Times New Roman" w:cs="Times New Roman"/>
                <w:color w:val="000000"/>
              </w:rPr>
              <w:t>)</w:t>
            </w:r>
          </w:p>
        </w:tc>
        <w:tc>
          <w:tcPr>
            <w:tcW w:w="3686" w:type="dxa"/>
            <w:tcBorders>
              <w:bottom w:val="single" w:sz="4" w:space="0" w:color="auto"/>
            </w:tcBorders>
            <w:noWrap/>
            <w:vAlign w:val="bottom"/>
            <w:hideMark/>
          </w:tcPr>
          <w:p w14:paraId="31B35308" w14:textId="0FA6EA77" w:rsidR="00AD2182" w:rsidRPr="00AD2182" w:rsidRDefault="00AD2182" w:rsidP="00AD2182">
            <w:pPr>
              <w:spacing w:line="480" w:lineRule="auto"/>
              <w:rPr>
                <w:rFonts w:ascii="Times New Roman" w:hAnsi="Times New Roman" w:cs="Times New Roman"/>
              </w:rPr>
            </w:pPr>
            <w:r w:rsidRPr="00AD2182">
              <w:rPr>
                <w:rFonts w:ascii="Times New Roman" w:hAnsi="Times New Roman" w:cs="Times New Roman"/>
                <w:color w:val="000000"/>
              </w:rPr>
              <w:t>52</w:t>
            </w:r>
            <w:r>
              <w:rPr>
                <w:rFonts w:ascii="Times New Roman" w:hAnsi="Times New Roman" w:cs="Times New Roman"/>
                <w:color w:val="000000"/>
              </w:rPr>
              <w:t>%</w:t>
            </w:r>
            <w:r w:rsidRPr="00AD2182">
              <w:rPr>
                <w:rFonts w:ascii="Times New Roman" w:hAnsi="Times New Roman" w:cs="Times New Roman"/>
                <w:color w:val="000000"/>
              </w:rPr>
              <w:t xml:space="preserve"> (3</w:t>
            </w:r>
            <w:r>
              <w:rPr>
                <w:rFonts w:ascii="Times New Roman" w:hAnsi="Times New Roman" w:cs="Times New Roman"/>
                <w:color w:val="000000"/>
              </w:rPr>
              <w:t>0%</w:t>
            </w:r>
            <w:r w:rsidRPr="00AD2182">
              <w:rPr>
                <w:rFonts w:ascii="Times New Roman" w:hAnsi="Times New Roman" w:cs="Times New Roman"/>
                <w:color w:val="000000"/>
              </w:rPr>
              <w:t>)</w:t>
            </w:r>
          </w:p>
        </w:tc>
      </w:tr>
    </w:tbl>
    <w:p w14:paraId="3EC5AED3" w14:textId="2E4C2C4C" w:rsidR="00BE6A49" w:rsidRDefault="00BE6A49" w:rsidP="005E6BD9">
      <w:pPr>
        <w:spacing w:line="480" w:lineRule="auto"/>
        <w:rPr>
          <w:rFonts w:ascii="Times New Roman" w:hAnsi="Times New Roman" w:cs="Times New Roman"/>
        </w:rPr>
      </w:pPr>
      <w:r>
        <w:rPr>
          <w:rFonts w:ascii="Times New Roman" w:hAnsi="Times New Roman" w:cs="Times New Roman"/>
        </w:rPr>
        <w:br w:type="page"/>
      </w:r>
    </w:p>
    <w:p w14:paraId="3B4C224C" w14:textId="217C3F4A" w:rsidR="005E6BD9" w:rsidRDefault="00F230AC" w:rsidP="005E6BD9">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694CF60" wp14:editId="1AAEBA75">
            <wp:extent cx="5943600" cy="59436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DSIsupFi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3545E9C" w14:textId="7A294618" w:rsidR="00BE6A49" w:rsidRPr="00A3671B" w:rsidRDefault="006E4FFC" w:rsidP="005E6BD9">
      <w:pPr>
        <w:spacing w:line="480" w:lineRule="auto"/>
        <w:rPr>
          <w:rFonts w:ascii="Times New Roman" w:hAnsi="Times New Roman" w:cs="Times New Roman"/>
        </w:rPr>
      </w:pPr>
      <w:r>
        <w:rPr>
          <w:rFonts w:ascii="Times New Roman" w:hAnsi="Times New Roman" w:cs="Times New Roman"/>
        </w:rPr>
        <w:t>Figure S1: Total fractional snow cover through time as a function of number of days until the first recorded negative normalized difference vegetation index (NDSI) value at each location in caribou (</w:t>
      </w:r>
      <w:r w:rsidRPr="00FE3D07">
        <w:rPr>
          <w:rFonts w:ascii="Times New Roman" w:hAnsi="Times New Roman" w:cs="Times New Roman"/>
          <w:i/>
          <w:iCs/>
        </w:rPr>
        <w:t>Rangifer tarandus</w:t>
      </w:r>
      <w:r>
        <w:rPr>
          <w:rFonts w:ascii="Times New Roman" w:hAnsi="Times New Roman" w:cs="Times New Roman"/>
        </w:rPr>
        <w:t>) ranges on the island of Newfoundland, 2007–2013. A total of 1000 locations were sampled in each herd and the NDSI extracted for each location. Thick black lines represent data for all herds combined</w:t>
      </w:r>
      <w:r w:rsidR="00555B0A">
        <w:rPr>
          <w:rFonts w:ascii="Times New Roman" w:hAnsi="Times New Roman" w:cs="Times New Roman"/>
        </w:rPr>
        <w:t xml:space="preserve">, colors represent individual herds. Vertical lines represent peak migration timing for all herds/each herd (surfing indices, see Main Text Methods). </w:t>
      </w:r>
      <w:r w:rsidR="00555B0A">
        <w:rPr>
          <w:rFonts w:ascii="Times New Roman" w:hAnsi="Times New Roman" w:cs="Times New Roman"/>
        </w:rPr>
        <w:lastRenderedPageBreak/>
        <w:t>Fractional snow cover for each herd during the peak of migration</w:t>
      </w:r>
      <w:r w:rsidR="00BF2A62">
        <w:rPr>
          <w:rFonts w:ascii="Times New Roman" w:hAnsi="Times New Roman" w:cs="Times New Roman"/>
        </w:rPr>
        <w:t xml:space="preserve"> occurs at the intersection of lines of the same color.</w:t>
      </w:r>
      <w:r w:rsidR="00555B0A">
        <w:rPr>
          <w:rFonts w:ascii="Times New Roman" w:hAnsi="Times New Roman" w:cs="Times New Roman"/>
        </w:rPr>
        <w:t xml:space="preserve"> Dashed black lines represent the standard deviation for all herds combined (standard deviations for each herd separately not show</w:t>
      </w:r>
      <w:r w:rsidR="00FE3D07">
        <w:rPr>
          <w:rFonts w:ascii="Times New Roman" w:hAnsi="Times New Roman" w:cs="Times New Roman"/>
        </w:rPr>
        <w:t>n</w:t>
      </w:r>
      <w:r w:rsidR="00555B0A">
        <w:rPr>
          <w:rFonts w:ascii="Times New Roman" w:hAnsi="Times New Roman" w:cs="Times New Roman"/>
        </w:rPr>
        <w:t xml:space="preserve">). Note, all values that would result in </w:t>
      </w:r>
      <w:r w:rsidR="00223870">
        <w:rPr>
          <w:rFonts w:ascii="Times New Roman" w:hAnsi="Times New Roman" w:cs="Times New Roman"/>
        </w:rPr>
        <w:t>a</w:t>
      </w:r>
      <w:r w:rsidR="00555B0A">
        <w:rPr>
          <w:rFonts w:ascii="Times New Roman" w:hAnsi="Times New Roman" w:cs="Times New Roman"/>
        </w:rPr>
        <w:t xml:space="preserve"> fractional snow cover value </w:t>
      </w:r>
      <w:r w:rsidR="00223870">
        <w:rPr>
          <w:rFonts w:ascii="Times New Roman" w:hAnsi="Times New Roman" w:cs="Times New Roman"/>
        </w:rPr>
        <w:t>outside the range of 0–1 were set to 0 or 1</w:t>
      </w:r>
      <w:r w:rsidR="00555B0A">
        <w:rPr>
          <w:rFonts w:ascii="Times New Roman" w:hAnsi="Times New Roman" w:cs="Times New Roman"/>
        </w:rPr>
        <w:t>.</w:t>
      </w:r>
    </w:p>
    <w:sectPr w:rsidR="00BE6A49" w:rsidRPr="00A3671B" w:rsidSect="0032357C">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1B"/>
    <w:rsid w:val="00186783"/>
    <w:rsid w:val="00223870"/>
    <w:rsid w:val="00230A5D"/>
    <w:rsid w:val="00315178"/>
    <w:rsid w:val="0032357C"/>
    <w:rsid w:val="004146BB"/>
    <w:rsid w:val="00490E83"/>
    <w:rsid w:val="005210A6"/>
    <w:rsid w:val="00555B0A"/>
    <w:rsid w:val="005861F9"/>
    <w:rsid w:val="005E6BD9"/>
    <w:rsid w:val="006C00A8"/>
    <w:rsid w:val="006D34D9"/>
    <w:rsid w:val="006E4FFC"/>
    <w:rsid w:val="00747DF5"/>
    <w:rsid w:val="008C70E0"/>
    <w:rsid w:val="008D7187"/>
    <w:rsid w:val="00A3671B"/>
    <w:rsid w:val="00AD2182"/>
    <w:rsid w:val="00BE6A49"/>
    <w:rsid w:val="00BF2A62"/>
    <w:rsid w:val="00C31BBE"/>
    <w:rsid w:val="00CD7FA6"/>
    <w:rsid w:val="00CE0CE5"/>
    <w:rsid w:val="00D14619"/>
    <w:rsid w:val="00E35AD5"/>
    <w:rsid w:val="00F230AC"/>
    <w:rsid w:val="00F37D2B"/>
    <w:rsid w:val="00FD410E"/>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8030"/>
  <w15:chartTrackingRefBased/>
  <w15:docId w15:val="{3E8BE8C9-2FC8-8B41-9F02-E7018B7D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6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7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671B"/>
    <w:rPr>
      <w:rFonts w:ascii="Times New Roman" w:hAnsi="Times New Roman" w:cs="Times New Roman"/>
      <w:sz w:val="18"/>
      <w:szCs w:val="18"/>
    </w:rPr>
  </w:style>
  <w:style w:type="character" w:styleId="LineNumber">
    <w:name w:val="line number"/>
    <w:basedOn w:val="DefaultParagraphFont"/>
    <w:uiPriority w:val="99"/>
    <w:semiHidden/>
    <w:unhideWhenUsed/>
    <w:rsid w:val="0032357C"/>
  </w:style>
  <w:style w:type="table" w:styleId="TableGrid">
    <w:name w:val="Table Grid"/>
    <w:basedOn w:val="TableNormal"/>
    <w:uiPriority w:val="39"/>
    <w:rsid w:val="00BE6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40076">
      <w:bodyDiv w:val="1"/>
      <w:marLeft w:val="0"/>
      <w:marRight w:val="0"/>
      <w:marTop w:val="0"/>
      <w:marBottom w:val="0"/>
      <w:divBdr>
        <w:top w:val="none" w:sz="0" w:space="0" w:color="auto"/>
        <w:left w:val="none" w:sz="0" w:space="0" w:color="auto"/>
        <w:bottom w:val="none" w:sz="0" w:space="0" w:color="auto"/>
        <w:right w:val="none" w:sz="0" w:space="0" w:color="auto"/>
      </w:divBdr>
    </w:div>
    <w:div w:id="1021324905">
      <w:bodyDiv w:val="1"/>
      <w:marLeft w:val="0"/>
      <w:marRight w:val="0"/>
      <w:marTop w:val="0"/>
      <w:marBottom w:val="0"/>
      <w:divBdr>
        <w:top w:val="none" w:sz="0" w:space="0" w:color="auto"/>
        <w:left w:val="none" w:sz="0" w:space="0" w:color="auto"/>
        <w:bottom w:val="none" w:sz="0" w:space="0" w:color="auto"/>
        <w:right w:val="none" w:sz="0" w:space="0" w:color="auto"/>
      </w:divBdr>
    </w:div>
    <w:div w:id="136644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A784E-D3B0-CC40-84D4-F2FD6B50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1255</Words>
  <Characters>7310</Characters>
  <Application>Microsoft Office Word</Application>
  <DocSecurity>0</DocSecurity>
  <Lines>98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Laforge</dc:creator>
  <cp:keywords/>
  <dc:description/>
  <cp:lastModifiedBy>Mike Laforge</cp:lastModifiedBy>
  <cp:revision>16</cp:revision>
  <dcterms:created xsi:type="dcterms:W3CDTF">2020-05-18T22:02:00Z</dcterms:created>
  <dcterms:modified xsi:type="dcterms:W3CDTF">2020-10-27T18:30:00Z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http://www.zotero.org/styles/biology-letters</vt:lpwstr>
  </property>
  <property fmtid="{D5CDD505-2E9C-101B-9397-08002B2CF9AE}" pid="3" name="Mendeley Recent Style Name 0_1">
    <vt:lpwstr>Biology Letters</vt:lpwstr>
  </property>
  <property fmtid="{D5CDD505-2E9C-101B-9397-08002B2CF9AE}" pid="4" name="Mendeley Recent Style Id 1_1">
    <vt:lpwstr>http://www.zotero.org/styles/ecology</vt:lpwstr>
  </property>
  <property fmtid="{D5CDD505-2E9C-101B-9397-08002B2CF9AE}" pid="5" name="Mendeley Recent Style Name 1_1">
    <vt:lpwstr>Ecology</vt:lpwstr>
  </property>
  <property fmtid="{D5CDD505-2E9C-101B-9397-08002B2CF9AE}" pid="6" name="Mendeley Recent Style Id 2_1">
    <vt:lpwstr>http://www.zotero.org/styles/ecosphere</vt:lpwstr>
  </property>
  <property fmtid="{D5CDD505-2E9C-101B-9397-08002B2CF9AE}" pid="7" name="Mendeley Recent Style Name 2_1">
    <vt:lpwstr>Ecosphere</vt:lpwstr>
  </property>
  <property fmtid="{D5CDD505-2E9C-101B-9397-08002B2CF9AE}" pid="8" name="Mendeley Recent Style Id 3_1">
    <vt:lpwstr>http://www.zotero.org/styles/journal-of-animal-ecology</vt:lpwstr>
  </property>
  <property fmtid="{D5CDD505-2E9C-101B-9397-08002B2CF9AE}" pid="9" name="Mendeley Recent Style Name 3_1">
    <vt:lpwstr>Journal of Animal Ecology</vt:lpwstr>
  </property>
  <property fmtid="{D5CDD505-2E9C-101B-9397-08002B2CF9AE}" pid="10" name="Mendeley Recent Style Id 4_1">
    <vt:lpwstr>http://www.zotero.org/styles/landscape-ecology</vt:lpwstr>
  </property>
  <property fmtid="{D5CDD505-2E9C-101B-9397-08002B2CF9AE}" pid="11" name="Mendeley Recent Style Name 4_1">
    <vt:lpwstr>Landscape Ecology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http://www.zotero.org/styles/movement-ecology</vt:lpwstr>
  </property>
  <property fmtid="{D5CDD505-2E9C-101B-9397-08002B2CF9AE}" pid="15" name="Mendeley Recent Style Name 6_1">
    <vt:lpwstr>Movement Ecology</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http://csl.mendeley.com/styles/380160631/the-journal-of-wildlife-management-3</vt:lpwstr>
  </property>
  <property fmtid="{D5CDD505-2E9C-101B-9397-08002B2CF9AE}" pid="21" name="Mendeley Recent Style Name 9_1">
    <vt:lpwstr>The Journal of Wildlife Management - Michel Laforge</vt:lpwstr>
  </property>
  <property fmtid="{D5CDD505-2E9C-101B-9397-08002B2CF9AE}" pid="22" name="Mendeley Document_1">
    <vt:lpwstr>True</vt:lpwstr>
  </property>
  <property fmtid="{D5CDD505-2E9C-101B-9397-08002B2CF9AE}" pid="23" name="Mendeley Unique User Id_1">
    <vt:lpwstr>6e618e29-36d2-3c58-ac0d-76a374d6157b</vt:lpwstr>
  </property>
  <property fmtid="{D5CDD505-2E9C-101B-9397-08002B2CF9AE}" pid="24" name="Mendeley Citation Style_1">
    <vt:lpwstr>http://www.zotero.org/styles/ecology</vt:lpwstr>
  </property>
</Properties>
</file>