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A9DBDD" w14:textId="0A57A1A9" w:rsidR="00426807" w:rsidRPr="00295ACC" w:rsidRDefault="00426807" w:rsidP="00426807">
      <w:pPr>
        <w:spacing w:line="480" w:lineRule="auto"/>
        <w:rPr>
          <w:rFonts w:ascii="Times New Roman" w:hAnsi="Times New Roman" w:cs="Times New Roman"/>
          <w:lang w:val="en-CA"/>
        </w:rPr>
      </w:pPr>
      <w:r w:rsidRPr="00295ACC">
        <w:rPr>
          <w:rFonts w:ascii="Times New Roman" w:hAnsi="Times New Roman" w:cs="Times New Roman"/>
          <w:lang w:val="en-CA"/>
        </w:rPr>
        <w:t xml:space="preserve">Laforge, M.P., M. Bonar &amp; E. Vander Wal. </w:t>
      </w:r>
      <w:r w:rsidR="009708F6" w:rsidRPr="00776231">
        <w:rPr>
          <w:rFonts w:ascii="Times New Roman" w:hAnsi="Times New Roman" w:cs="Times New Roman"/>
          <w:lang w:val="en-CA"/>
        </w:rPr>
        <w:t>Tracking snowmelt to jump the green wave: Phenological drivers of migration in a northern ungulate</w:t>
      </w:r>
      <w:r w:rsidR="009708F6" w:rsidRPr="00295ACC">
        <w:rPr>
          <w:rFonts w:ascii="Times New Roman" w:hAnsi="Times New Roman" w:cs="Times New Roman"/>
          <w:lang w:val="en-CA"/>
        </w:rPr>
        <w:t xml:space="preserve">. </w:t>
      </w:r>
      <w:r w:rsidRPr="00295ACC">
        <w:rPr>
          <w:rFonts w:ascii="Times New Roman" w:hAnsi="Times New Roman" w:cs="Times New Roman"/>
          <w:lang w:val="en-CA"/>
        </w:rPr>
        <w:t>Ecology.</w:t>
      </w:r>
    </w:p>
    <w:p w14:paraId="2664627C" w14:textId="77777777" w:rsidR="00426807" w:rsidRPr="00295ACC" w:rsidRDefault="00426807" w:rsidP="00426807">
      <w:pPr>
        <w:spacing w:line="480" w:lineRule="auto"/>
        <w:rPr>
          <w:rFonts w:ascii="Times New Roman" w:hAnsi="Times New Roman" w:cs="Times New Roman"/>
          <w:lang w:val="en-CA"/>
        </w:rPr>
      </w:pPr>
    </w:p>
    <w:p w14:paraId="7D6DFA1A" w14:textId="1D52302B" w:rsidR="00426807" w:rsidRPr="00457C64" w:rsidRDefault="00426807" w:rsidP="00426807">
      <w:pPr>
        <w:spacing w:line="480" w:lineRule="auto"/>
        <w:rPr>
          <w:rFonts w:ascii="Times New Roman" w:hAnsi="Times New Roman" w:cs="Times New Roman"/>
          <w:b/>
          <w:bCs/>
          <w:sz w:val="28"/>
          <w:szCs w:val="28"/>
          <w:lang w:val="en-CA"/>
        </w:rPr>
      </w:pPr>
      <w:r w:rsidRPr="005A7A65">
        <w:rPr>
          <w:rFonts w:ascii="Times New Roman" w:hAnsi="Times New Roman" w:cs="Times New Roman"/>
          <w:b/>
          <w:bCs/>
          <w:sz w:val="28"/>
          <w:szCs w:val="28"/>
          <w:lang w:val="en-CA"/>
        </w:rPr>
        <w:t>Appendix S2: Additional results</w:t>
      </w:r>
    </w:p>
    <w:p w14:paraId="498011A4" w14:textId="77777777" w:rsidR="00426807" w:rsidRDefault="00426807" w:rsidP="00426807">
      <w:pPr>
        <w:spacing w:line="480" w:lineRule="auto"/>
        <w:rPr>
          <w:rFonts w:ascii="Times New Roman" w:hAnsi="Times New Roman" w:cs="Times New Roman"/>
        </w:rPr>
      </w:pPr>
      <w:r>
        <w:rPr>
          <w:rFonts w:ascii="Times New Roman" w:hAnsi="Times New Roman" w:cs="Times New Roman"/>
        </w:rPr>
        <w:t>Table S1: Summary of sample size and timing of migration, calving, snowmelt and green-up for caribou (</w:t>
      </w:r>
      <w:r w:rsidRPr="000438B5">
        <w:rPr>
          <w:rFonts w:ascii="Times New Roman" w:hAnsi="Times New Roman" w:cs="Times New Roman"/>
          <w:i/>
          <w:iCs/>
        </w:rPr>
        <w:t>n</w:t>
      </w:r>
      <w:r>
        <w:rPr>
          <w:rFonts w:ascii="Times New Roman" w:hAnsi="Times New Roman" w:cs="Times New Roman"/>
        </w:rPr>
        <w:t xml:space="preserve"> = 94) in Newfoundland, Canada from 2007–2013.</w:t>
      </w:r>
    </w:p>
    <w:tbl>
      <w:tblPr>
        <w:tblStyle w:val="TableGrid"/>
        <w:tblW w:w="135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8"/>
        <w:gridCol w:w="1555"/>
        <w:gridCol w:w="1542"/>
        <w:gridCol w:w="1555"/>
        <w:gridCol w:w="1777"/>
        <w:gridCol w:w="1795"/>
        <w:gridCol w:w="2068"/>
      </w:tblGrid>
      <w:tr w:rsidR="00426807" w:rsidRPr="00B36684" w14:paraId="6F3A7349" w14:textId="77777777" w:rsidTr="000441A8">
        <w:trPr>
          <w:trHeight w:val="300"/>
        </w:trPr>
        <w:tc>
          <w:tcPr>
            <w:tcW w:w="3298" w:type="dxa"/>
            <w:tcBorders>
              <w:top w:val="single" w:sz="4" w:space="0" w:color="auto"/>
              <w:bottom w:val="single" w:sz="4" w:space="0" w:color="auto"/>
            </w:tcBorders>
            <w:noWrap/>
            <w:hideMark/>
          </w:tcPr>
          <w:p w14:paraId="5131A8F4" w14:textId="77777777" w:rsidR="00426807" w:rsidRPr="00B36684" w:rsidRDefault="00426807" w:rsidP="009C4FBB">
            <w:pPr>
              <w:spacing w:line="480" w:lineRule="auto"/>
              <w:rPr>
                <w:rFonts w:ascii="Times New Roman" w:hAnsi="Times New Roman" w:cs="Times New Roman"/>
                <w:sz w:val="24"/>
                <w:szCs w:val="24"/>
              </w:rPr>
            </w:pPr>
          </w:p>
        </w:tc>
        <w:tc>
          <w:tcPr>
            <w:tcW w:w="1555" w:type="dxa"/>
            <w:tcBorders>
              <w:top w:val="single" w:sz="4" w:space="0" w:color="auto"/>
              <w:bottom w:val="single" w:sz="4" w:space="0" w:color="auto"/>
            </w:tcBorders>
            <w:noWrap/>
            <w:hideMark/>
          </w:tcPr>
          <w:p w14:paraId="792B7373" w14:textId="77777777" w:rsidR="00426807" w:rsidRPr="00B36684" w:rsidRDefault="00426807" w:rsidP="009C4FBB">
            <w:pPr>
              <w:spacing w:line="480" w:lineRule="auto"/>
              <w:rPr>
                <w:rFonts w:ascii="Times New Roman" w:hAnsi="Times New Roman" w:cs="Times New Roman"/>
                <w:sz w:val="24"/>
                <w:szCs w:val="24"/>
              </w:rPr>
            </w:pPr>
            <w:r w:rsidRPr="00B36684">
              <w:rPr>
                <w:rFonts w:ascii="Times New Roman" w:hAnsi="Times New Roman" w:cs="Times New Roman"/>
                <w:sz w:val="24"/>
                <w:szCs w:val="24"/>
              </w:rPr>
              <w:t>All Herds</w:t>
            </w:r>
          </w:p>
        </w:tc>
        <w:tc>
          <w:tcPr>
            <w:tcW w:w="1542" w:type="dxa"/>
            <w:tcBorders>
              <w:top w:val="single" w:sz="4" w:space="0" w:color="auto"/>
              <w:bottom w:val="single" w:sz="4" w:space="0" w:color="auto"/>
            </w:tcBorders>
            <w:noWrap/>
            <w:hideMark/>
          </w:tcPr>
          <w:p w14:paraId="12F908AD" w14:textId="77777777" w:rsidR="00426807" w:rsidRPr="00B36684" w:rsidRDefault="00426807" w:rsidP="009C4FBB">
            <w:pPr>
              <w:spacing w:line="480" w:lineRule="auto"/>
              <w:rPr>
                <w:rFonts w:ascii="Times New Roman" w:hAnsi="Times New Roman" w:cs="Times New Roman"/>
                <w:sz w:val="24"/>
                <w:szCs w:val="24"/>
              </w:rPr>
            </w:pPr>
            <w:proofErr w:type="spellStart"/>
            <w:r w:rsidRPr="00B36684">
              <w:rPr>
                <w:rFonts w:ascii="Times New Roman" w:hAnsi="Times New Roman" w:cs="Times New Roman"/>
                <w:sz w:val="24"/>
                <w:szCs w:val="24"/>
              </w:rPr>
              <w:t>Buchans</w:t>
            </w:r>
            <w:proofErr w:type="spellEnd"/>
          </w:p>
        </w:tc>
        <w:tc>
          <w:tcPr>
            <w:tcW w:w="1555" w:type="dxa"/>
            <w:tcBorders>
              <w:top w:val="single" w:sz="4" w:space="0" w:color="auto"/>
              <w:bottom w:val="single" w:sz="4" w:space="0" w:color="auto"/>
            </w:tcBorders>
            <w:noWrap/>
            <w:hideMark/>
          </w:tcPr>
          <w:p w14:paraId="76CE9F19" w14:textId="77777777" w:rsidR="00426807" w:rsidRPr="00B36684" w:rsidRDefault="00426807" w:rsidP="009C4FBB">
            <w:pPr>
              <w:spacing w:line="480" w:lineRule="auto"/>
              <w:rPr>
                <w:rFonts w:ascii="Times New Roman" w:hAnsi="Times New Roman" w:cs="Times New Roman"/>
                <w:sz w:val="24"/>
                <w:szCs w:val="24"/>
              </w:rPr>
            </w:pPr>
            <w:r w:rsidRPr="00B36684">
              <w:rPr>
                <w:rFonts w:ascii="Times New Roman" w:hAnsi="Times New Roman" w:cs="Times New Roman"/>
                <w:sz w:val="24"/>
                <w:szCs w:val="24"/>
              </w:rPr>
              <w:t>Grey River</w:t>
            </w:r>
          </w:p>
        </w:tc>
        <w:tc>
          <w:tcPr>
            <w:tcW w:w="1777" w:type="dxa"/>
            <w:tcBorders>
              <w:top w:val="single" w:sz="4" w:space="0" w:color="auto"/>
              <w:bottom w:val="single" w:sz="4" w:space="0" w:color="auto"/>
            </w:tcBorders>
            <w:noWrap/>
            <w:hideMark/>
          </w:tcPr>
          <w:p w14:paraId="6FBA8282" w14:textId="77777777" w:rsidR="00426807" w:rsidRPr="00B36684" w:rsidRDefault="00426807" w:rsidP="009C4FBB">
            <w:pPr>
              <w:spacing w:line="480" w:lineRule="auto"/>
              <w:rPr>
                <w:rFonts w:ascii="Times New Roman" w:hAnsi="Times New Roman" w:cs="Times New Roman"/>
                <w:sz w:val="24"/>
                <w:szCs w:val="24"/>
              </w:rPr>
            </w:pPr>
            <w:proofErr w:type="spellStart"/>
            <w:r w:rsidRPr="00B36684">
              <w:rPr>
                <w:rFonts w:ascii="Times New Roman" w:hAnsi="Times New Roman" w:cs="Times New Roman"/>
                <w:sz w:val="24"/>
                <w:szCs w:val="24"/>
              </w:rPr>
              <w:t>Lapoile</w:t>
            </w:r>
            <w:proofErr w:type="spellEnd"/>
          </w:p>
        </w:tc>
        <w:tc>
          <w:tcPr>
            <w:tcW w:w="1795" w:type="dxa"/>
            <w:tcBorders>
              <w:top w:val="single" w:sz="4" w:space="0" w:color="auto"/>
              <w:bottom w:val="single" w:sz="4" w:space="0" w:color="auto"/>
            </w:tcBorders>
            <w:noWrap/>
            <w:hideMark/>
          </w:tcPr>
          <w:p w14:paraId="612D9BF4" w14:textId="77777777" w:rsidR="00426807" w:rsidRPr="00B36684" w:rsidRDefault="00426807" w:rsidP="009C4FBB">
            <w:pPr>
              <w:spacing w:line="480" w:lineRule="auto"/>
              <w:rPr>
                <w:rFonts w:ascii="Times New Roman" w:hAnsi="Times New Roman" w:cs="Times New Roman"/>
                <w:sz w:val="24"/>
                <w:szCs w:val="24"/>
              </w:rPr>
            </w:pPr>
            <w:r w:rsidRPr="00B36684">
              <w:rPr>
                <w:rFonts w:ascii="Times New Roman" w:hAnsi="Times New Roman" w:cs="Times New Roman"/>
                <w:sz w:val="24"/>
                <w:szCs w:val="24"/>
              </w:rPr>
              <w:t>Middle Ridge</w:t>
            </w:r>
          </w:p>
        </w:tc>
        <w:tc>
          <w:tcPr>
            <w:tcW w:w="2068" w:type="dxa"/>
            <w:tcBorders>
              <w:top w:val="single" w:sz="4" w:space="0" w:color="auto"/>
              <w:bottom w:val="single" w:sz="4" w:space="0" w:color="auto"/>
            </w:tcBorders>
            <w:noWrap/>
            <w:hideMark/>
          </w:tcPr>
          <w:p w14:paraId="2DC4BAAE" w14:textId="77777777" w:rsidR="00426807" w:rsidRPr="00B36684" w:rsidRDefault="00426807" w:rsidP="009C4FBB">
            <w:pPr>
              <w:spacing w:line="480" w:lineRule="auto"/>
              <w:rPr>
                <w:rFonts w:ascii="Times New Roman" w:hAnsi="Times New Roman" w:cs="Times New Roman"/>
                <w:sz w:val="24"/>
                <w:szCs w:val="24"/>
              </w:rPr>
            </w:pPr>
            <w:r w:rsidRPr="00B36684">
              <w:rPr>
                <w:rFonts w:ascii="Times New Roman" w:hAnsi="Times New Roman" w:cs="Times New Roman"/>
                <w:sz w:val="24"/>
                <w:szCs w:val="24"/>
              </w:rPr>
              <w:t>Topsails</w:t>
            </w:r>
          </w:p>
        </w:tc>
      </w:tr>
      <w:tr w:rsidR="004F52F3" w:rsidRPr="00B36684" w14:paraId="6235496D" w14:textId="77777777" w:rsidTr="00393E4C">
        <w:trPr>
          <w:trHeight w:val="300"/>
        </w:trPr>
        <w:tc>
          <w:tcPr>
            <w:tcW w:w="3298" w:type="dxa"/>
            <w:tcBorders>
              <w:top w:val="single" w:sz="4" w:space="0" w:color="auto"/>
            </w:tcBorders>
            <w:noWrap/>
            <w:hideMark/>
          </w:tcPr>
          <w:p w14:paraId="30659BB3" w14:textId="77777777" w:rsidR="004F52F3" w:rsidRPr="00B36684" w:rsidRDefault="004F52F3" w:rsidP="004F52F3">
            <w:pPr>
              <w:spacing w:line="480" w:lineRule="auto"/>
              <w:rPr>
                <w:rFonts w:ascii="Times New Roman" w:hAnsi="Times New Roman" w:cs="Times New Roman"/>
                <w:sz w:val="24"/>
                <w:szCs w:val="24"/>
              </w:rPr>
            </w:pPr>
            <w:r w:rsidRPr="00B36684">
              <w:rPr>
                <w:rFonts w:ascii="Times New Roman" w:hAnsi="Times New Roman" w:cs="Times New Roman"/>
                <w:sz w:val="24"/>
                <w:szCs w:val="24"/>
              </w:rPr>
              <w:t>Number of individuals</w:t>
            </w:r>
          </w:p>
        </w:tc>
        <w:tc>
          <w:tcPr>
            <w:tcW w:w="1555" w:type="dxa"/>
            <w:tcBorders>
              <w:top w:val="single" w:sz="4" w:space="0" w:color="auto"/>
            </w:tcBorders>
            <w:noWrap/>
            <w:vAlign w:val="bottom"/>
            <w:hideMark/>
          </w:tcPr>
          <w:p w14:paraId="4512F652" w14:textId="44328B89"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94</w:t>
            </w:r>
          </w:p>
        </w:tc>
        <w:tc>
          <w:tcPr>
            <w:tcW w:w="1542" w:type="dxa"/>
            <w:tcBorders>
              <w:top w:val="single" w:sz="4" w:space="0" w:color="auto"/>
            </w:tcBorders>
            <w:noWrap/>
            <w:vAlign w:val="bottom"/>
            <w:hideMark/>
          </w:tcPr>
          <w:p w14:paraId="03808EE5" w14:textId="7A7D2369"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14</w:t>
            </w:r>
          </w:p>
        </w:tc>
        <w:tc>
          <w:tcPr>
            <w:tcW w:w="1555" w:type="dxa"/>
            <w:tcBorders>
              <w:top w:val="single" w:sz="4" w:space="0" w:color="auto"/>
            </w:tcBorders>
            <w:noWrap/>
            <w:vAlign w:val="bottom"/>
            <w:hideMark/>
          </w:tcPr>
          <w:p w14:paraId="75F69844" w14:textId="658123F4"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13</w:t>
            </w:r>
          </w:p>
        </w:tc>
        <w:tc>
          <w:tcPr>
            <w:tcW w:w="1777" w:type="dxa"/>
            <w:tcBorders>
              <w:top w:val="single" w:sz="4" w:space="0" w:color="auto"/>
            </w:tcBorders>
            <w:noWrap/>
            <w:vAlign w:val="bottom"/>
            <w:hideMark/>
          </w:tcPr>
          <w:p w14:paraId="103C67EF" w14:textId="7D655FAA"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18</w:t>
            </w:r>
          </w:p>
        </w:tc>
        <w:tc>
          <w:tcPr>
            <w:tcW w:w="1795" w:type="dxa"/>
            <w:tcBorders>
              <w:top w:val="single" w:sz="4" w:space="0" w:color="auto"/>
            </w:tcBorders>
            <w:noWrap/>
            <w:vAlign w:val="bottom"/>
            <w:hideMark/>
          </w:tcPr>
          <w:p w14:paraId="786BFFC8" w14:textId="59696BDF"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34</w:t>
            </w:r>
          </w:p>
        </w:tc>
        <w:tc>
          <w:tcPr>
            <w:tcW w:w="2068" w:type="dxa"/>
            <w:tcBorders>
              <w:top w:val="single" w:sz="4" w:space="0" w:color="auto"/>
            </w:tcBorders>
            <w:noWrap/>
            <w:vAlign w:val="bottom"/>
            <w:hideMark/>
          </w:tcPr>
          <w:p w14:paraId="62409231" w14:textId="370BC608"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15</w:t>
            </w:r>
          </w:p>
        </w:tc>
      </w:tr>
      <w:tr w:rsidR="004F52F3" w:rsidRPr="00B36684" w14:paraId="36A0D15E" w14:textId="77777777" w:rsidTr="00393E4C">
        <w:trPr>
          <w:trHeight w:val="300"/>
        </w:trPr>
        <w:tc>
          <w:tcPr>
            <w:tcW w:w="3298" w:type="dxa"/>
            <w:noWrap/>
            <w:hideMark/>
          </w:tcPr>
          <w:p w14:paraId="314EBC75" w14:textId="77777777" w:rsidR="004F52F3" w:rsidRPr="00B36684" w:rsidRDefault="004F52F3" w:rsidP="004F52F3">
            <w:pPr>
              <w:spacing w:line="480" w:lineRule="auto"/>
              <w:rPr>
                <w:rFonts w:ascii="Times New Roman" w:hAnsi="Times New Roman" w:cs="Times New Roman"/>
                <w:sz w:val="24"/>
                <w:szCs w:val="24"/>
              </w:rPr>
            </w:pPr>
            <w:r w:rsidRPr="00B36684">
              <w:rPr>
                <w:rFonts w:ascii="Times New Roman" w:hAnsi="Times New Roman" w:cs="Times New Roman"/>
                <w:sz w:val="24"/>
                <w:szCs w:val="24"/>
              </w:rPr>
              <w:t>Number of ID years</w:t>
            </w:r>
          </w:p>
        </w:tc>
        <w:tc>
          <w:tcPr>
            <w:tcW w:w="1555" w:type="dxa"/>
            <w:noWrap/>
            <w:vAlign w:val="bottom"/>
            <w:hideMark/>
          </w:tcPr>
          <w:p w14:paraId="34A09086" w14:textId="258FC48E"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216</w:t>
            </w:r>
          </w:p>
        </w:tc>
        <w:tc>
          <w:tcPr>
            <w:tcW w:w="1542" w:type="dxa"/>
            <w:noWrap/>
            <w:vAlign w:val="bottom"/>
            <w:hideMark/>
          </w:tcPr>
          <w:p w14:paraId="0ED52B1E" w14:textId="63E734D0"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44</w:t>
            </w:r>
          </w:p>
        </w:tc>
        <w:tc>
          <w:tcPr>
            <w:tcW w:w="1555" w:type="dxa"/>
            <w:noWrap/>
            <w:vAlign w:val="bottom"/>
            <w:hideMark/>
          </w:tcPr>
          <w:p w14:paraId="22E3C77C" w14:textId="731CAB0F"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40</w:t>
            </w:r>
          </w:p>
        </w:tc>
        <w:tc>
          <w:tcPr>
            <w:tcW w:w="1777" w:type="dxa"/>
            <w:noWrap/>
            <w:vAlign w:val="bottom"/>
            <w:hideMark/>
          </w:tcPr>
          <w:p w14:paraId="1768B29F" w14:textId="5121BD24"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50</w:t>
            </w:r>
          </w:p>
        </w:tc>
        <w:tc>
          <w:tcPr>
            <w:tcW w:w="1795" w:type="dxa"/>
            <w:noWrap/>
            <w:vAlign w:val="bottom"/>
            <w:hideMark/>
          </w:tcPr>
          <w:p w14:paraId="269937AF" w14:textId="43F42096"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59</w:t>
            </w:r>
          </w:p>
        </w:tc>
        <w:tc>
          <w:tcPr>
            <w:tcW w:w="2068" w:type="dxa"/>
            <w:noWrap/>
            <w:vAlign w:val="bottom"/>
            <w:hideMark/>
          </w:tcPr>
          <w:p w14:paraId="5EF9F7B5" w14:textId="2E0CF786"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23</w:t>
            </w:r>
          </w:p>
        </w:tc>
      </w:tr>
      <w:tr w:rsidR="004F52F3" w:rsidRPr="00B36684" w14:paraId="7A3A1E2A" w14:textId="77777777" w:rsidTr="000441A8">
        <w:trPr>
          <w:trHeight w:val="300"/>
        </w:trPr>
        <w:tc>
          <w:tcPr>
            <w:tcW w:w="3298" w:type="dxa"/>
            <w:noWrap/>
            <w:hideMark/>
          </w:tcPr>
          <w:p w14:paraId="528CCB3B" w14:textId="51BF7A85" w:rsidR="004F52F3" w:rsidRPr="00B36684" w:rsidRDefault="004F52F3" w:rsidP="004F52F3">
            <w:pPr>
              <w:spacing w:line="480" w:lineRule="auto"/>
              <w:rPr>
                <w:rFonts w:ascii="Times New Roman" w:hAnsi="Times New Roman" w:cs="Times New Roman"/>
                <w:sz w:val="24"/>
                <w:szCs w:val="24"/>
              </w:rPr>
            </w:pPr>
            <w:r w:rsidRPr="00B36684">
              <w:rPr>
                <w:rFonts w:ascii="Times New Roman" w:hAnsi="Times New Roman" w:cs="Times New Roman"/>
                <w:sz w:val="24"/>
                <w:szCs w:val="24"/>
              </w:rPr>
              <w:t>Me</w:t>
            </w:r>
            <w:r>
              <w:rPr>
                <w:rFonts w:ascii="Times New Roman" w:hAnsi="Times New Roman" w:cs="Times New Roman"/>
                <w:sz w:val="24"/>
                <w:szCs w:val="24"/>
              </w:rPr>
              <w:t>dian</w:t>
            </w:r>
            <w:r w:rsidRPr="00B36684">
              <w:rPr>
                <w:rFonts w:ascii="Times New Roman" w:hAnsi="Times New Roman" w:cs="Times New Roman"/>
                <w:sz w:val="24"/>
                <w:szCs w:val="24"/>
              </w:rPr>
              <w:t xml:space="preserve"> + [range], start date of migration</w:t>
            </w:r>
          </w:p>
        </w:tc>
        <w:tc>
          <w:tcPr>
            <w:tcW w:w="1555" w:type="dxa"/>
            <w:noWrap/>
            <w:vAlign w:val="bottom"/>
            <w:hideMark/>
          </w:tcPr>
          <w:p w14:paraId="7E5D663B" w14:textId="5A4AE3A3"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Mar 25 [Feb 09, May 19]</w:t>
            </w:r>
          </w:p>
        </w:tc>
        <w:tc>
          <w:tcPr>
            <w:tcW w:w="1542" w:type="dxa"/>
            <w:noWrap/>
            <w:vAlign w:val="bottom"/>
            <w:hideMark/>
          </w:tcPr>
          <w:p w14:paraId="6027D06E" w14:textId="0E193325"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Mar 31 [Feb 09, Apr 22]</w:t>
            </w:r>
          </w:p>
        </w:tc>
        <w:tc>
          <w:tcPr>
            <w:tcW w:w="1555" w:type="dxa"/>
            <w:noWrap/>
            <w:vAlign w:val="bottom"/>
            <w:hideMark/>
          </w:tcPr>
          <w:p w14:paraId="7273F47C" w14:textId="61B0A04E"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Mar 29 [Feb 14, May 19]</w:t>
            </w:r>
          </w:p>
        </w:tc>
        <w:tc>
          <w:tcPr>
            <w:tcW w:w="1777" w:type="dxa"/>
            <w:noWrap/>
            <w:vAlign w:val="bottom"/>
            <w:hideMark/>
          </w:tcPr>
          <w:p w14:paraId="657721CB" w14:textId="14CDE96A"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Mar 22 [Mar 01, Apr 19]</w:t>
            </w:r>
          </w:p>
        </w:tc>
        <w:tc>
          <w:tcPr>
            <w:tcW w:w="1795" w:type="dxa"/>
            <w:noWrap/>
            <w:vAlign w:val="bottom"/>
            <w:hideMark/>
          </w:tcPr>
          <w:p w14:paraId="2658668D" w14:textId="65DF1625"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Mar 17 [Feb 23, Apr 25]</w:t>
            </w:r>
          </w:p>
        </w:tc>
        <w:tc>
          <w:tcPr>
            <w:tcW w:w="2068" w:type="dxa"/>
            <w:noWrap/>
            <w:vAlign w:val="bottom"/>
            <w:hideMark/>
          </w:tcPr>
          <w:p w14:paraId="28630817" w14:textId="49D09D49"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Apr 07 [Mar 11, May 10]</w:t>
            </w:r>
          </w:p>
        </w:tc>
      </w:tr>
      <w:tr w:rsidR="004F52F3" w:rsidRPr="00B36684" w14:paraId="2161DF50" w14:textId="77777777" w:rsidTr="000441A8">
        <w:trPr>
          <w:trHeight w:val="300"/>
        </w:trPr>
        <w:tc>
          <w:tcPr>
            <w:tcW w:w="3298" w:type="dxa"/>
            <w:noWrap/>
            <w:hideMark/>
          </w:tcPr>
          <w:p w14:paraId="22A419DC" w14:textId="39CC2ED6" w:rsidR="004F52F3" w:rsidRPr="00B36684" w:rsidRDefault="004F52F3" w:rsidP="004F52F3">
            <w:pPr>
              <w:spacing w:line="480" w:lineRule="auto"/>
              <w:rPr>
                <w:rFonts w:ascii="Times New Roman" w:hAnsi="Times New Roman" w:cs="Times New Roman"/>
                <w:sz w:val="24"/>
                <w:szCs w:val="24"/>
              </w:rPr>
            </w:pPr>
            <w:r w:rsidRPr="00B36684">
              <w:rPr>
                <w:rFonts w:ascii="Times New Roman" w:hAnsi="Times New Roman" w:cs="Times New Roman"/>
                <w:sz w:val="24"/>
                <w:szCs w:val="24"/>
              </w:rPr>
              <w:t>Me</w:t>
            </w:r>
            <w:r>
              <w:rPr>
                <w:rFonts w:ascii="Times New Roman" w:hAnsi="Times New Roman" w:cs="Times New Roman"/>
                <w:sz w:val="24"/>
                <w:szCs w:val="24"/>
              </w:rPr>
              <w:t>dian</w:t>
            </w:r>
            <w:r w:rsidRPr="00B36684">
              <w:rPr>
                <w:rFonts w:ascii="Times New Roman" w:hAnsi="Times New Roman" w:cs="Times New Roman"/>
                <w:sz w:val="24"/>
                <w:szCs w:val="24"/>
              </w:rPr>
              <w:t xml:space="preserve"> + [range], end date of migration</w:t>
            </w:r>
          </w:p>
        </w:tc>
        <w:tc>
          <w:tcPr>
            <w:tcW w:w="1555" w:type="dxa"/>
            <w:noWrap/>
            <w:vAlign w:val="bottom"/>
            <w:hideMark/>
          </w:tcPr>
          <w:p w14:paraId="0C80D648" w14:textId="19661FF4"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May 10 [Mar 20, Jul 13]</w:t>
            </w:r>
          </w:p>
        </w:tc>
        <w:tc>
          <w:tcPr>
            <w:tcW w:w="1542" w:type="dxa"/>
            <w:noWrap/>
            <w:vAlign w:val="bottom"/>
            <w:hideMark/>
          </w:tcPr>
          <w:p w14:paraId="45A934F7" w14:textId="46BDF1ED"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May 08 [Apr 14, Jun 22]</w:t>
            </w:r>
          </w:p>
        </w:tc>
        <w:tc>
          <w:tcPr>
            <w:tcW w:w="1555" w:type="dxa"/>
            <w:noWrap/>
            <w:vAlign w:val="bottom"/>
            <w:hideMark/>
          </w:tcPr>
          <w:p w14:paraId="0761B30A" w14:textId="40EA307A"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May 07 [Mar 29, Jun 22]</w:t>
            </w:r>
          </w:p>
        </w:tc>
        <w:tc>
          <w:tcPr>
            <w:tcW w:w="1777" w:type="dxa"/>
            <w:noWrap/>
            <w:vAlign w:val="bottom"/>
            <w:hideMark/>
          </w:tcPr>
          <w:p w14:paraId="4A1E28CD" w14:textId="4230FB65"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May 17 [Apr 13, Jun 17]</w:t>
            </w:r>
          </w:p>
        </w:tc>
        <w:tc>
          <w:tcPr>
            <w:tcW w:w="1795" w:type="dxa"/>
            <w:noWrap/>
            <w:vAlign w:val="bottom"/>
            <w:hideMark/>
          </w:tcPr>
          <w:p w14:paraId="021013B9" w14:textId="00B76642"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May 03 [Mar 20, Jul 13]</w:t>
            </w:r>
          </w:p>
        </w:tc>
        <w:tc>
          <w:tcPr>
            <w:tcW w:w="2068" w:type="dxa"/>
            <w:noWrap/>
            <w:vAlign w:val="bottom"/>
            <w:hideMark/>
          </w:tcPr>
          <w:p w14:paraId="3DD14C1E" w14:textId="5B9A355E"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May 10 [Apr 08, Jun 07]</w:t>
            </w:r>
          </w:p>
        </w:tc>
      </w:tr>
      <w:tr w:rsidR="004F52F3" w:rsidRPr="00B36684" w14:paraId="5E7EA3DE" w14:textId="77777777" w:rsidTr="000441A8">
        <w:trPr>
          <w:trHeight w:val="300"/>
        </w:trPr>
        <w:tc>
          <w:tcPr>
            <w:tcW w:w="3298" w:type="dxa"/>
            <w:noWrap/>
            <w:hideMark/>
          </w:tcPr>
          <w:p w14:paraId="42C0C453" w14:textId="51AACA1B" w:rsidR="004F52F3" w:rsidRPr="00B36684" w:rsidRDefault="004F52F3" w:rsidP="004F52F3">
            <w:pPr>
              <w:spacing w:line="480" w:lineRule="auto"/>
              <w:rPr>
                <w:rFonts w:ascii="Times New Roman" w:hAnsi="Times New Roman" w:cs="Times New Roman"/>
                <w:sz w:val="24"/>
                <w:szCs w:val="24"/>
              </w:rPr>
            </w:pPr>
            <w:r w:rsidRPr="00B36684">
              <w:rPr>
                <w:rFonts w:ascii="Times New Roman" w:hAnsi="Times New Roman" w:cs="Times New Roman"/>
                <w:sz w:val="24"/>
                <w:szCs w:val="24"/>
              </w:rPr>
              <w:t>Me</w:t>
            </w:r>
            <w:r>
              <w:rPr>
                <w:rFonts w:ascii="Times New Roman" w:hAnsi="Times New Roman" w:cs="Times New Roman"/>
                <w:sz w:val="24"/>
                <w:szCs w:val="24"/>
              </w:rPr>
              <w:t>di</w:t>
            </w:r>
            <w:r w:rsidRPr="00B36684">
              <w:rPr>
                <w:rFonts w:ascii="Times New Roman" w:hAnsi="Times New Roman" w:cs="Times New Roman"/>
                <w:sz w:val="24"/>
                <w:szCs w:val="24"/>
              </w:rPr>
              <w:t>an + [range], duration of migration (days)</w:t>
            </w:r>
          </w:p>
        </w:tc>
        <w:tc>
          <w:tcPr>
            <w:tcW w:w="1555" w:type="dxa"/>
            <w:noWrap/>
            <w:vAlign w:val="bottom"/>
            <w:hideMark/>
          </w:tcPr>
          <w:p w14:paraId="783869D5" w14:textId="43E23919"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43 [3, 128]</w:t>
            </w:r>
          </w:p>
        </w:tc>
        <w:tc>
          <w:tcPr>
            <w:tcW w:w="1542" w:type="dxa"/>
            <w:noWrap/>
            <w:vAlign w:val="bottom"/>
            <w:hideMark/>
          </w:tcPr>
          <w:p w14:paraId="27410DBC" w14:textId="3E642971"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40.5 [13, 84]</w:t>
            </w:r>
          </w:p>
        </w:tc>
        <w:tc>
          <w:tcPr>
            <w:tcW w:w="1555" w:type="dxa"/>
            <w:noWrap/>
            <w:vAlign w:val="bottom"/>
            <w:hideMark/>
          </w:tcPr>
          <w:p w14:paraId="05B8BACB" w14:textId="65B99F96"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39.5 [7, 123]</w:t>
            </w:r>
          </w:p>
        </w:tc>
        <w:tc>
          <w:tcPr>
            <w:tcW w:w="1777" w:type="dxa"/>
            <w:noWrap/>
            <w:vAlign w:val="bottom"/>
            <w:hideMark/>
          </w:tcPr>
          <w:p w14:paraId="1AE2BAE4" w14:textId="41A4513D"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50.5 [18, 94]</w:t>
            </w:r>
          </w:p>
        </w:tc>
        <w:tc>
          <w:tcPr>
            <w:tcW w:w="1795" w:type="dxa"/>
            <w:noWrap/>
            <w:vAlign w:val="bottom"/>
            <w:hideMark/>
          </w:tcPr>
          <w:p w14:paraId="072878B3" w14:textId="7D5DFE61"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43 [3, 128]</w:t>
            </w:r>
          </w:p>
        </w:tc>
        <w:tc>
          <w:tcPr>
            <w:tcW w:w="2068" w:type="dxa"/>
            <w:noWrap/>
            <w:vAlign w:val="bottom"/>
            <w:hideMark/>
          </w:tcPr>
          <w:p w14:paraId="36AB2386" w14:textId="5C2F1D2E"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19 [4, 74]</w:t>
            </w:r>
          </w:p>
        </w:tc>
      </w:tr>
      <w:tr w:rsidR="004F52F3" w:rsidRPr="00B36684" w14:paraId="473A801F" w14:textId="77777777" w:rsidTr="000441A8">
        <w:trPr>
          <w:trHeight w:val="300"/>
        </w:trPr>
        <w:tc>
          <w:tcPr>
            <w:tcW w:w="3298" w:type="dxa"/>
            <w:noWrap/>
            <w:hideMark/>
          </w:tcPr>
          <w:p w14:paraId="3B6173D6" w14:textId="6723555C" w:rsidR="004F52F3" w:rsidRPr="00B36684" w:rsidRDefault="004F52F3" w:rsidP="004F52F3">
            <w:pPr>
              <w:spacing w:line="480" w:lineRule="auto"/>
              <w:rPr>
                <w:rFonts w:ascii="Times New Roman" w:hAnsi="Times New Roman" w:cs="Times New Roman"/>
                <w:sz w:val="24"/>
                <w:szCs w:val="24"/>
              </w:rPr>
            </w:pPr>
            <w:r w:rsidRPr="00B36684">
              <w:rPr>
                <w:rFonts w:ascii="Times New Roman" w:hAnsi="Times New Roman" w:cs="Times New Roman"/>
                <w:sz w:val="24"/>
                <w:szCs w:val="24"/>
              </w:rPr>
              <w:lastRenderedPageBreak/>
              <w:t>Me</w:t>
            </w:r>
            <w:r>
              <w:rPr>
                <w:rFonts w:ascii="Times New Roman" w:hAnsi="Times New Roman" w:cs="Times New Roman"/>
                <w:sz w:val="24"/>
                <w:szCs w:val="24"/>
              </w:rPr>
              <w:t>di</w:t>
            </w:r>
            <w:r w:rsidRPr="00B36684">
              <w:rPr>
                <w:rFonts w:ascii="Times New Roman" w:hAnsi="Times New Roman" w:cs="Times New Roman"/>
                <w:sz w:val="24"/>
                <w:szCs w:val="24"/>
              </w:rPr>
              <w:t>an + [range], distance of migration (km)</w:t>
            </w:r>
          </w:p>
        </w:tc>
        <w:tc>
          <w:tcPr>
            <w:tcW w:w="1555" w:type="dxa"/>
            <w:noWrap/>
            <w:vAlign w:val="bottom"/>
            <w:hideMark/>
          </w:tcPr>
          <w:p w14:paraId="24A599B5" w14:textId="2F0AB9D0"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61.8 [30.5, 174.9]</w:t>
            </w:r>
          </w:p>
        </w:tc>
        <w:tc>
          <w:tcPr>
            <w:tcW w:w="1542" w:type="dxa"/>
            <w:noWrap/>
            <w:vAlign w:val="bottom"/>
            <w:hideMark/>
          </w:tcPr>
          <w:p w14:paraId="00067ABE" w14:textId="63F231ED"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105.3 [42, 143]</w:t>
            </w:r>
          </w:p>
        </w:tc>
        <w:tc>
          <w:tcPr>
            <w:tcW w:w="1555" w:type="dxa"/>
            <w:noWrap/>
            <w:vAlign w:val="bottom"/>
            <w:hideMark/>
          </w:tcPr>
          <w:p w14:paraId="139F712A" w14:textId="0005A971"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58 [36.4, 174.9]</w:t>
            </w:r>
          </w:p>
        </w:tc>
        <w:tc>
          <w:tcPr>
            <w:tcW w:w="1777" w:type="dxa"/>
            <w:noWrap/>
            <w:vAlign w:val="bottom"/>
            <w:hideMark/>
          </w:tcPr>
          <w:p w14:paraId="66C51D31" w14:textId="230B0486"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99.8 [32.1, 173.5]</w:t>
            </w:r>
          </w:p>
        </w:tc>
        <w:tc>
          <w:tcPr>
            <w:tcW w:w="1795" w:type="dxa"/>
            <w:noWrap/>
            <w:vAlign w:val="bottom"/>
            <w:hideMark/>
          </w:tcPr>
          <w:p w14:paraId="32FDCC7E" w14:textId="752E9D3C"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48.3 [30.5, 82.3]</w:t>
            </w:r>
          </w:p>
        </w:tc>
        <w:tc>
          <w:tcPr>
            <w:tcW w:w="2068" w:type="dxa"/>
            <w:noWrap/>
            <w:vAlign w:val="bottom"/>
            <w:hideMark/>
          </w:tcPr>
          <w:p w14:paraId="4D9AD06B" w14:textId="4365E693"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48 [32.1, 139.1]</w:t>
            </w:r>
          </w:p>
        </w:tc>
      </w:tr>
      <w:tr w:rsidR="004F52F3" w:rsidRPr="00B36684" w14:paraId="7ED126B1" w14:textId="77777777" w:rsidTr="000441A8">
        <w:trPr>
          <w:trHeight w:val="300"/>
        </w:trPr>
        <w:tc>
          <w:tcPr>
            <w:tcW w:w="3298" w:type="dxa"/>
            <w:noWrap/>
            <w:hideMark/>
          </w:tcPr>
          <w:p w14:paraId="2A520AA4" w14:textId="3F04636B" w:rsidR="004F52F3" w:rsidRPr="00B36684" w:rsidRDefault="004F52F3" w:rsidP="004F52F3">
            <w:pPr>
              <w:spacing w:line="480" w:lineRule="auto"/>
              <w:rPr>
                <w:rFonts w:ascii="Times New Roman" w:hAnsi="Times New Roman" w:cs="Times New Roman"/>
                <w:sz w:val="24"/>
                <w:szCs w:val="24"/>
              </w:rPr>
            </w:pPr>
            <w:r w:rsidRPr="00B36684">
              <w:rPr>
                <w:rFonts w:ascii="Times New Roman" w:hAnsi="Times New Roman" w:cs="Times New Roman"/>
                <w:sz w:val="24"/>
                <w:szCs w:val="24"/>
              </w:rPr>
              <w:t>Me</w:t>
            </w:r>
            <w:r>
              <w:rPr>
                <w:rFonts w:ascii="Times New Roman" w:hAnsi="Times New Roman" w:cs="Times New Roman"/>
                <w:sz w:val="24"/>
                <w:szCs w:val="24"/>
              </w:rPr>
              <w:t>di</w:t>
            </w:r>
            <w:r w:rsidRPr="00B36684">
              <w:rPr>
                <w:rFonts w:ascii="Times New Roman" w:hAnsi="Times New Roman" w:cs="Times New Roman"/>
                <w:sz w:val="24"/>
                <w:szCs w:val="24"/>
              </w:rPr>
              <w:t>an + [</w:t>
            </w:r>
            <w:proofErr w:type="spellStart"/>
            <w:r w:rsidRPr="00B36684">
              <w:rPr>
                <w:rFonts w:ascii="Times New Roman" w:hAnsi="Times New Roman" w:cs="Times New Roman"/>
                <w:sz w:val="24"/>
                <w:szCs w:val="24"/>
              </w:rPr>
              <w:t>sd</w:t>
            </w:r>
            <w:proofErr w:type="spellEnd"/>
            <w:r w:rsidRPr="00B36684">
              <w:rPr>
                <w:rFonts w:ascii="Times New Roman" w:hAnsi="Times New Roman" w:cs="Times New Roman"/>
                <w:sz w:val="24"/>
                <w:szCs w:val="24"/>
              </w:rPr>
              <w:t>], date of snowmelt over migratory route</w:t>
            </w:r>
          </w:p>
        </w:tc>
        <w:tc>
          <w:tcPr>
            <w:tcW w:w="1555" w:type="dxa"/>
            <w:noWrap/>
            <w:vAlign w:val="bottom"/>
            <w:hideMark/>
          </w:tcPr>
          <w:p w14:paraId="286F0634" w14:textId="65E2F914"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Apr 25 [17.6 days]</w:t>
            </w:r>
          </w:p>
        </w:tc>
        <w:tc>
          <w:tcPr>
            <w:tcW w:w="1542" w:type="dxa"/>
            <w:noWrap/>
            <w:vAlign w:val="bottom"/>
            <w:hideMark/>
          </w:tcPr>
          <w:p w14:paraId="464DBD73" w14:textId="25A26A7C"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May 02 [13.3 days]</w:t>
            </w:r>
          </w:p>
        </w:tc>
        <w:tc>
          <w:tcPr>
            <w:tcW w:w="1555" w:type="dxa"/>
            <w:noWrap/>
            <w:vAlign w:val="bottom"/>
            <w:hideMark/>
          </w:tcPr>
          <w:p w14:paraId="2F69C656" w14:textId="2A562A68"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Apr 26 [13.1 days]</w:t>
            </w:r>
          </w:p>
        </w:tc>
        <w:tc>
          <w:tcPr>
            <w:tcW w:w="1777" w:type="dxa"/>
            <w:noWrap/>
            <w:vAlign w:val="bottom"/>
            <w:hideMark/>
          </w:tcPr>
          <w:p w14:paraId="07EA97C1" w14:textId="5AECF157"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May 08 [19.3 days]</w:t>
            </w:r>
          </w:p>
        </w:tc>
        <w:tc>
          <w:tcPr>
            <w:tcW w:w="1795" w:type="dxa"/>
            <w:noWrap/>
            <w:vAlign w:val="bottom"/>
            <w:hideMark/>
          </w:tcPr>
          <w:p w14:paraId="4DCC77AB" w14:textId="6FFC0B3E"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Apr 14 [9.7 days]</w:t>
            </w:r>
          </w:p>
        </w:tc>
        <w:tc>
          <w:tcPr>
            <w:tcW w:w="2068" w:type="dxa"/>
            <w:noWrap/>
            <w:vAlign w:val="bottom"/>
            <w:hideMark/>
          </w:tcPr>
          <w:p w14:paraId="3817A992" w14:textId="74CBB290"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May 03 [10.9 days]</w:t>
            </w:r>
          </w:p>
        </w:tc>
      </w:tr>
      <w:tr w:rsidR="004F52F3" w:rsidRPr="00B36684" w14:paraId="1AC918B0" w14:textId="77777777" w:rsidTr="000441A8">
        <w:trPr>
          <w:trHeight w:val="300"/>
        </w:trPr>
        <w:tc>
          <w:tcPr>
            <w:tcW w:w="3298" w:type="dxa"/>
            <w:noWrap/>
            <w:hideMark/>
          </w:tcPr>
          <w:p w14:paraId="38C660A4" w14:textId="50706130" w:rsidR="004F52F3" w:rsidRPr="00B36684" w:rsidRDefault="004F52F3" w:rsidP="004F52F3">
            <w:pPr>
              <w:spacing w:line="480" w:lineRule="auto"/>
              <w:rPr>
                <w:rFonts w:ascii="Times New Roman" w:hAnsi="Times New Roman" w:cs="Times New Roman"/>
                <w:sz w:val="24"/>
                <w:szCs w:val="24"/>
              </w:rPr>
            </w:pPr>
            <w:r w:rsidRPr="00B36684">
              <w:rPr>
                <w:rFonts w:ascii="Times New Roman" w:hAnsi="Times New Roman" w:cs="Times New Roman"/>
                <w:sz w:val="24"/>
                <w:szCs w:val="24"/>
              </w:rPr>
              <w:t>Me</w:t>
            </w:r>
            <w:r>
              <w:rPr>
                <w:rFonts w:ascii="Times New Roman" w:hAnsi="Times New Roman" w:cs="Times New Roman"/>
                <w:sz w:val="24"/>
                <w:szCs w:val="24"/>
              </w:rPr>
              <w:t>di</w:t>
            </w:r>
            <w:r w:rsidRPr="00B36684">
              <w:rPr>
                <w:rFonts w:ascii="Times New Roman" w:hAnsi="Times New Roman" w:cs="Times New Roman"/>
                <w:sz w:val="24"/>
                <w:szCs w:val="24"/>
              </w:rPr>
              <w:t>an + [range], date of calving</w:t>
            </w:r>
          </w:p>
        </w:tc>
        <w:tc>
          <w:tcPr>
            <w:tcW w:w="1555" w:type="dxa"/>
            <w:noWrap/>
            <w:vAlign w:val="bottom"/>
            <w:hideMark/>
          </w:tcPr>
          <w:p w14:paraId="2D7655A9" w14:textId="7A355FF9"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May 24 [May 22, Jul 13]</w:t>
            </w:r>
          </w:p>
        </w:tc>
        <w:tc>
          <w:tcPr>
            <w:tcW w:w="1542" w:type="dxa"/>
            <w:noWrap/>
            <w:vAlign w:val="bottom"/>
            <w:hideMark/>
          </w:tcPr>
          <w:p w14:paraId="2FC10552" w14:textId="30EA659F"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May 22 [May 22, Jun 23]</w:t>
            </w:r>
          </w:p>
        </w:tc>
        <w:tc>
          <w:tcPr>
            <w:tcW w:w="1555" w:type="dxa"/>
            <w:noWrap/>
            <w:vAlign w:val="bottom"/>
            <w:hideMark/>
          </w:tcPr>
          <w:p w14:paraId="1AF5D4DC" w14:textId="380713E5"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May 24 [May 22, Jul 04]</w:t>
            </w:r>
          </w:p>
        </w:tc>
        <w:tc>
          <w:tcPr>
            <w:tcW w:w="1777" w:type="dxa"/>
            <w:noWrap/>
            <w:vAlign w:val="bottom"/>
            <w:hideMark/>
          </w:tcPr>
          <w:p w14:paraId="63F3CCFE" w14:textId="5E5E57A1"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May 28 [May 22, Jun 17]</w:t>
            </w:r>
          </w:p>
        </w:tc>
        <w:tc>
          <w:tcPr>
            <w:tcW w:w="1795" w:type="dxa"/>
            <w:noWrap/>
            <w:vAlign w:val="bottom"/>
            <w:hideMark/>
          </w:tcPr>
          <w:p w14:paraId="1B0C1AA5" w14:textId="1EDCFE91"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May 24 [May 22, Jul 13]</w:t>
            </w:r>
          </w:p>
        </w:tc>
        <w:tc>
          <w:tcPr>
            <w:tcW w:w="2068" w:type="dxa"/>
            <w:noWrap/>
            <w:vAlign w:val="bottom"/>
            <w:hideMark/>
          </w:tcPr>
          <w:p w14:paraId="3A66F4C6" w14:textId="7CAC3764"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May 24 [May 22, Jun 15]</w:t>
            </w:r>
          </w:p>
        </w:tc>
      </w:tr>
      <w:tr w:rsidR="004F52F3" w:rsidRPr="00B36684" w14:paraId="2F8C976A" w14:textId="77777777" w:rsidTr="000441A8">
        <w:trPr>
          <w:trHeight w:val="300"/>
        </w:trPr>
        <w:tc>
          <w:tcPr>
            <w:tcW w:w="3298" w:type="dxa"/>
            <w:tcBorders>
              <w:bottom w:val="single" w:sz="4" w:space="0" w:color="auto"/>
            </w:tcBorders>
            <w:noWrap/>
            <w:hideMark/>
          </w:tcPr>
          <w:p w14:paraId="2FC4D9BA" w14:textId="7AC3CDDA" w:rsidR="004F52F3" w:rsidRPr="00B36684" w:rsidRDefault="004F52F3" w:rsidP="004F52F3">
            <w:pPr>
              <w:spacing w:line="480" w:lineRule="auto"/>
              <w:rPr>
                <w:rFonts w:ascii="Times New Roman" w:hAnsi="Times New Roman" w:cs="Times New Roman"/>
                <w:sz w:val="24"/>
                <w:szCs w:val="24"/>
              </w:rPr>
            </w:pPr>
            <w:r w:rsidRPr="00B36684">
              <w:rPr>
                <w:rFonts w:ascii="Times New Roman" w:hAnsi="Times New Roman" w:cs="Times New Roman"/>
                <w:sz w:val="24"/>
                <w:szCs w:val="24"/>
              </w:rPr>
              <w:t>Me</w:t>
            </w:r>
            <w:r>
              <w:rPr>
                <w:rFonts w:ascii="Times New Roman" w:hAnsi="Times New Roman" w:cs="Times New Roman"/>
                <w:sz w:val="24"/>
                <w:szCs w:val="24"/>
              </w:rPr>
              <w:t>di</w:t>
            </w:r>
            <w:r w:rsidRPr="00B36684">
              <w:rPr>
                <w:rFonts w:ascii="Times New Roman" w:hAnsi="Times New Roman" w:cs="Times New Roman"/>
                <w:sz w:val="24"/>
                <w:szCs w:val="24"/>
              </w:rPr>
              <w:t>an + [</w:t>
            </w:r>
            <w:proofErr w:type="spellStart"/>
            <w:r w:rsidRPr="00B36684">
              <w:rPr>
                <w:rFonts w:ascii="Times New Roman" w:hAnsi="Times New Roman" w:cs="Times New Roman"/>
                <w:sz w:val="24"/>
                <w:szCs w:val="24"/>
              </w:rPr>
              <w:t>sd</w:t>
            </w:r>
            <w:proofErr w:type="spellEnd"/>
            <w:r w:rsidRPr="00B36684">
              <w:rPr>
                <w:rFonts w:ascii="Times New Roman" w:hAnsi="Times New Roman" w:cs="Times New Roman"/>
                <w:sz w:val="24"/>
                <w:szCs w:val="24"/>
              </w:rPr>
              <w:t>], date of peak IRG during calving</w:t>
            </w:r>
          </w:p>
        </w:tc>
        <w:tc>
          <w:tcPr>
            <w:tcW w:w="1555" w:type="dxa"/>
            <w:tcBorders>
              <w:bottom w:val="single" w:sz="4" w:space="0" w:color="auto"/>
            </w:tcBorders>
            <w:noWrap/>
            <w:vAlign w:val="bottom"/>
            <w:hideMark/>
          </w:tcPr>
          <w:p w14:paraId="2DE17A7B" w14:textId="2B2A1DE1"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Jun 06 [13.5 days]</w:t>
            </w:r>
          </w:p>
        </w:tc>
        <w:tc>
          <w:tcPr>
            <w:tcW w:w="1542" w:type="dxa"/>
            <w:tcBorders>
              <w:bottom w:val="single" w:sz="4" w:space="0" w:color="auto"/>
            </w:tcBorders>
            <w:noWrap/>
            <w:vAlign w:val="bottom"/>
            <w:hideMark/>
          </w:tcPr>
          <w:p w14:paraId="3E248638" w14:textId="7F531C5F"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Jun 08 [13.4 days]</w:t>
            </w:r>
          </w:p>
        </w:tc>
        <w:tc>
          <w:tcPr>
            <w:tcW w:w="1555" w:type="dxa"/>
            <w:tcBorders>
              <w:bottom w:val="single" w:sz="4" w:space="0" w:color="auto"/>
            </w:tcBorders>
            <w:noWrap/>
            <w:vAlign w:val="bottom"/>
            <w:hideMark/>
          </w:tcPr>
          <w:p w14:paraId="1A3DDB67" w14:textId="34E25D40"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May 30 [12.9 days]</w:t>
            </w:r>
          </w:p>
        </w:tc>
        <w:tc>
          <w:tcPr>
            <w:tcW w:w="1777" w:type="dxa"/>
            <w:tcBorders>
              <w:bottom w:val="single" w:sz="4" w:space="0" w:color="auto"/>
            </w:tcBorders>
            <w:noWrap/>
            <w:vAlign w:val="bottom"/>
            <w:hideMark/>
          </w:tcPr>
          <w:p w14:paraId="5216B5B7" w14:textId="4A4DE4F9"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Jun 12 [9.5 days]</w:t>
            </w:r>
          </w:p>
        </w:tc>
        <w:tc>
          <w:tcPr>
            <w:tcW w:w="1795" w:type="dxa"/>
            <w:tcBorders>
              <w:bottom w:val="single" w:sz="4" w:space="0" w:color="auto"/>
            </w:tcBorders>
            <w:noWrap/>
            <w:vAlign w:val="bottom"/>
            <w:hideMark/>
          </w:tcPr>
          <w:p w14:paraId="4C460944" w14:textId="62F27C50"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Jun 02 [14.2 days]</w:t>
            </w:r>
          </w:p>
        </w:tc>
        <w:tc>
          <w:tcPr>
            <w:tcW w:w="2068" w:type="dxa"/>
            <w:tcBorders>
              <w:bottom w:val="single" w:sz="4" w:space="0" w:color="auto"/>
            </w:tcBorders>
            <w:noWrap/>
            <w:vAlign w:val="bottom"/>
            <w:hideMark/>
          </w:tcPr>
          <w:p w14:paraId="35DE6319" w14:textId="61C81176" w:rsidR="004F52F3" w:rsidRPr="004F52F3" w:rsidRDefault="004F52F3" w:rsidP="004F52F3">
            <w:pPr>
              <w:spacing w:line="480" w:lineRule="auto"/>
              <w:rPr>
                <w:rFonts w:ascii="Times New Roman" w:hAnsi="Times New Roman" w:cs="Times New Roman"/>
                <w:sz w:val="24"/>
                <w:szCs w:val="24"/>
              </w:rPr>
            </w:pPr>
            <w:r w:rsidRPr="004F52F3">
              <w:rPr>
                <w:rFonts w:ascii="Times New Roman" w:hAnsi="Times New Roman" w:cs="Times New Roman"/>
                <w:color w:val="000000"/>
              </w:rPr>
              <w:t>Jun 07 [10.5 days]</w:t>
            </w:r>
          </w:p>
        </w:tc>
      </w:tr>
    </w:tbl>
    <w:p w14:paraId="590E9113" w14:textId="77777777" w:rsidR="00426807" w:rsidRDefault="00426807" w:rsidP="00426807">
      <w:pPr>
        <w:spacing w:line="480" w:lineRule="auto"/>
        <w:rPr>
          <w:rFonts w:ascii="Times New Roman" w:hAnsi="Times New Roman" w:cs="Times New Roman"/>
        </w:rPr>
      </w:pPr>
    </w:p>
    <w:p w14:paraId="16C8EE77" w14:textId="77777777" w:rsidR="00426807" w:rsidRDefault="00426807" w:rsidP="00426807">
      <w:pPr>
        <w:spacing w:line="480" w:lineRule="auto"/>
        <w:rPr>
          <w:rFonts w:ascii="Times New Roman" w:hAnsi="Times New Roman" w:cs="Times New Roman"/>
        </w:rPr>
        <w:sectPr w:rsidR="00426807" w:rsidSect="00003136">
          <w:headerReference w:type="even" r:id="rId7"/>
          <w:headerReference w:type="default" r:id="rId8"/>
          <w:pgSz w:w="15840" w:h="12240" w:orient="landscape"/>
          <w:pgMar w:top="1440" w:right="1440" w:bottom="1440" w:left="1440" w:header="709" w:footer="709" w:gutter="0"/>
          <w:lnNumType w:countBy="1" w:restart="continuous"/>
          <w:cols w:space="708"/>
          <w:docGrid w:linePitch="360"/>
        </w:sectPr>
      </w:pPr>
    </w:p>
    <w:p w14:paraId="36F508B9" w14:textId="010234FE" w:rsidR="00426807" w:rsidRDefault="00E53520" w:rsidP="00426807">
      <w:pPr>
        <w:spacing w:line="480" w:lineRule="auto"/>
        <w:rPr>
          <w:rFonts w:ascii="Times New Roman" w:hAnsi="Times New Roman" w:cs="Times New Roman"/>
        </w:rPr>
      </w:pPr>
      <w:r>
        <w:rPr>
          <w:rFonts w:ascii="Times New Roman" w:hAnsi="Times New Roman" w:cs="Times New Roman"/>
        </w:rPr>
        <w:lastRenderedPageBreak/>
        <w:t>Table S2: Estimated date of the optimal lag (number of days before/after peak instantaneous rate of green-up (IRG) or snowmelt) for caribou</w:t>
      </w:r>
      <w:r w:rsidR="005015BF">
        <w:rPr>
          <w:rFonts w:ascii="Times New Roman" w:hAnsi="Times New Roman" w:cs="Times New Roman"/>
        </w:rPr>
        <w:t xml:space="preserve"> (</w:t>
      </w:r>
      <w:r w:rsidR="006647FF" w:rsidRPr="002668D6">
        <w:rPr>
          <w:rFonts w:ascii="Times New Roman" w:hAnsi="Times New Roman" w:cs="Times New Roman"/>
          <w:i/>
          <w:iCs/>
        </w:rPr>
        <w:t>Rangifer tarandus</w:t>
      </w:r>
      <w:r w:rsidR="006647FF">
        <w:rPr>
          <w:rFonts w:ascii="Times New Roman" w:hAnsi="Times New Roman" w:cs="Times New Roman"/>
        </w:rPr>
        <w:t xml:space="preserve">, </w:t>
      </w:r>
      <w:r w:rsidR="005015BF" w:rsidRPr="002668D6">
        <w:rPr>
          <w:rFonts w:ascii="Times New Roman" w:hAnsi="Times New Roman" w:cs="Times New Roman"/>
          <w:i/>
          <w:iCs/>
        </w:rPr>
        <w:t>n</w:t>
      </w:r>
      <w:r w:rsidR="005015BF">
        <w:rPr>
          <w:rFonts w:ascii="Times New Roman" w:hAnsi="Times New Roman" w:cs="Times New Roman"/>
        </w:rPr>
        <w:t xml:space="preserve"> = 94)</w:t>
      </w:r>
      <w:r>
        <w:rPr>
          <w:rFonts w:ascii="Times New Roman" w:hAnsi="Times New Roman" w:cs="Times New Roman"/>
        </w:rPr>
        <w:t xml:space="preserve"> selection of areas with high IRG or near the date where snow melts</w:t>
      </w:r>
      <w:r w:rsidR="0046652A">
        <w:rPr>
          <w:rFonts w:ascii="Times New Roman" w:hAnsi="Times New Roman" w:cs="Times New Roman"/>
        </w:rPr>
        <w:t>, along with log-likelihood values of the top model</w:t>
      </w:r>
      <w:r>
        <w:rPr>
          <w:rFonts w:ascii="Times New Roman" w:hAnsi="Times New Roman" w:cs="Times New Roman"/>
        </w:rPr>
        <w:t xml:space="preserve">. </w:t>
      </w:r>
      <w:bookmarkStart w:id="0" w:name="OLE_LINK1"/>
      <w:bookmarkStart w:id="1" w:name="OLE_LINK2"/>
      <w:r>
        <w:rPr>
          <w:rFonts w:ascii="Times New Roman" w:hAnsi="Times New Roman" w:cs="Times New Roman"/>
        </w:rPr>
        <w:t xml:space="preserve">We generated models using the absolute value of days to snowmelt/peak IRG across several lags. </w:t>
      </w:r>
      <w:bookmarkEnd w:id="0"/>
      <w:bookmarkEnd w:id="1"/>
      <w:r>
        <w:rPr>
          <w:rFonts w:ascii="Times New Roman" w:hAnsi="Times New Roman" w:cs="Times New Roman"/>
        </w:rPr>
        <w:t>Lagged datasets were constructed by adding or subtracting the value of the lag to the number of days until snowmelt/peak IRG. This was done to allow us to test for model fit at the focal day of the lag (see main text, Methods). Estimates represent the lag/day (number of days added or subtracted) that resulted in the best fitting model fit using days from peak as a squared term based on log-likelihood of models. The estimated range represents the day at which interpolated log-likelihood values have a difference of 1 (</w:t>
      </w:r>
      <w:r w:rsidRPr="00BE206D">
        <w:rPr>
          <w:rFonts w:ascii="Times New Roman" w:hAnsi="Times New Roman" w:cs="Times New Roman"/>
        </w:rPr>
        <w:t>Δ</w:t>
      </w:r>
      <w:r>
        <w:rPr>
          <w:rFonts w:ascii="Times New Roman" w:hAnsi="Times New Roman" w:cs="Times New Roman"/>
        </w:rPr>
        <w:t>AIC = 2). The difference is the number of days between the minimum and maximum estimate.</w:t>
      </w:r>
      <w:r w:rsidR="0046652A">
        <w:rPr>
          <w:rFonts w:ascii="Times New Roman" w:hAnsi="Times New Roman" w:cs="Times New Roman"/>
        </w:rPr>
        <w:t xml:space="preserve"> LL is the log-likelihood of the top model.</w:t>
      </w:r>
    </w:p>
    <w:tbl>
      <w:tblPr>
        <w:tblW w:w="0" w:type="auto"/>
        <w:tblLayout w:type="fixed"/>
        <w:tblCellMar>
          <w:left w:w="0" w:type="dxa"/>
          <w:right w:w="0" w:type="dxa"/>
        </w:tblCellMar>
        <w:tblLook w:val="04A0" w:firstRow="1" w:lastRow="0" w:firstColumn="1" w:lastColumn="0" w:noHBand="0" w:noVBand="1"/>
      </w:tblPr>
      <w:tblGrid>
        <w:gridCol w:w="1228"/>
        <w:gridCol w:w="1891"/>
        <w:gridCol w:w="792"/>
        <w:gridCol w:w="1334"/>
        <w:gridCol w:w="1843"/>
        <w:gridCol w:w="709"/>
        <w:gridCol w:w="1275"/>
        <w:gridCol w:w="1843"/>
        <w:gridCol w:w="709"/>
        <w:gridCol w:w="1336"/>
      </w:tblGrid>
      <w:tr w:rsidR="008471EB" w:rsidRPr="00777D83" w14:paraId="61B43623" w14:textId="6E4E6B03" w:rsidTr="00F53795">
        <w:trPr>
          <w:trHeight w:val="165"/>
        </w:trPr>
        <w:tc>
          <w:tcPr>
            <w:tcW w:w="1228" w:type="dxa"/>
            <w:tcBorders>
              <w:top w:val="single" w:sz="4" w:space="0" w:color="auto"/>
              <w:bottom w:val="single" w:sz="4" w:space="0" w:color="auto"/>
            </w:tcBorders>
            <w:shd w:val="clear" w:color="auto" w:fill="auto"/>
            <w:tcMar>
              <w:top w:w="60" w:type="dxa"/>
              <w:left w:w="60" w:type="dxa"/>
              <w:bottom w:w="60" w:type="dxa"/>
              <w:right w:w="60" w:type="dxa"/>
            </w:tcMar>
          </w:tcPr>
          <w:p w14:paraId="647CE3B7" w14:textId="77777777" w:rsidR="008471EB" w:rsidRPr="00777D83" w:rsidRDefault="008471EB" w:rsidP="00777D83">
            <w:pPr>
              <w:spacing w:line="480" w:lineRule="auto"/>
              <w:rPr>
                <w:rFonts w:ascii="Times New Roman" w:hAnsi="Times New Roman" w:cs="Times New Roman"/>
                <w:lang w:val="en-CA"/>
              </w:rPr>
            </w:pPr>
          </w:p>
        </w:tc>
        <w:tc>
          <w:tcPr>
            <w:tcW w:w="4017" w:type="dxa"/>
            <w:gridSpan w:val="3"/>
            <w:tcBorders>
              <w:top w:val="single" w:sz="4" w:space="0" w:color="auto"/>
              <w:bottom w:val="single" w:sz="4" w:space="0" w:color="auto"/>
            </w:tcBorders>
            <w:shd w:val="clear" w:color="auto" w:fill="auto"/>
            <w:tcMar>
              <w:top w:w="60" w:type="dxa"/>
              <w:left w:w="60" w:type="dxa"/>
              <w:bottom w:w="60" w:type="dxa"/>
              <w:right w:w="60" w:type="dxa"/>
            </w:tcMar>
          </w:tcPr>
          <w:p w14:paraId="0CDF963F" w14:textId="7BBB866C" w:rsidR="008471EB" w:rsidRPr="00777D83" w:rsidRDefault="008471EB" w:rsidP="00777D83">
            <w:pPr>
              <w:spacing w:line="480" w:lineRule="auto"/>
              <w:rPr>
                <w:rFonts w:ascii="Times New Roman" w:hAnsi="Times New Roman" w:cs="Times New Roman"/>
                <w:lang w:val="en-CA"/>
              </w:rPr>
            </w:pPr>
            <w:r w:rsidRPr="00777D83">
              <w:rPr>
                <w:rFonts w:ascii="Times New Roman" w:hAnsi="Times New Roman" w:cs="Times New Roman"/>
                <w:lang w:val="en-CA"/>
              </w:rPr>
              <w:t>Snow</w:t>
            </w:r>
            <w:r w:rsidR="000576E6">
              <w:rPr>
                <w:rFonts w:ascii="Times New Roman" w:hAnsi="Times New Roman" w:cs="Times New Roman"/>
                <w:lang w:val="en-CA"/>
              </w:rPr>
              <w:t>melt</w:t>
            </w:r>
            <w:r>
              <w:rPr>
                <w:rFonts w:ascii="Times New Roman" w:hAnsi="Times New Roman" w:cs="Times New Roman"/>
                <w:lang w:val="en-CA"/>
              </w:rPr>
              <w:t>—</w:t>
            </w:r>
            <w:r w:rsidRPr="00777D83">
              <w:rPr>
                <w:rFonts w:ascii="Times New Roman" w:hAnsi="Times New Roman" w:cs="Times New Roman"/>
                <w:lang w:val="en-CA"/>
              </w:rPr>
              <w:t>Migration</w:t>
            </w:r>
          </w:p>
        </w:tc>
        <w:tc>
          <w:tcPr>
            <w:tcW w:w="3827" w:type="dxa"/>
            <w:gridSpan w:val="3"/>
            <w:tcBorders>
              <w:top w:val="single" w:sz="4" w:space="0" w:color="auto"/>
              <w:bottom w:val="single" w:sz="4" w:space="0" w:color="auto"/>
            </w:tcBorders>
            <w:shd w:val="clear" w:color="auto" w:fill="auto"/>
            <w:tcMar>
              <w:top w:w="60" w:type="dxa"/>
              <w:left w:w="60" w:type="dxa"/>
              <w:bottom w:w="60" w:type="dxa"/>
              <w:right w:w="60" w:type="dxa"/>
            </w:tcMar>
          </w:tcPr>
          <w:p w14:paraId="5CD31E96" w14:textId="27C1AD2E" w:rsidR="008471EB" w:rsidRPr="00777D83" w:rsidRDefault="008471EB" w:rsidP="00777D83">
            <w:pPr>
              <w:spacing w:line="480" w:lineRule="auto"/>
              <w:rPr>
                <w:rFonts w:ascii="Times New Roman" w:hAnsi="Times New Roman" w:cs="Times New Roman"/>
                <w:lang w:val="en-CA"/>
              </w:rPr>
            </w:pPr>
            <w:r w:rsidRPr="00777D83">
              <w:rPr>
                <w:rFonts w:ascii="Times New Roman" w:hAnsi="Times New Roman" w:cs="Times New Roman"/>
                <w:lang w:val="en-CA"/>
              </w:rPr>
              <w:t>IRG</w:t>
            </w:r>
            <w:r>
              <w:rPr>
                <w:rFonts w:ascii="Times New Roman" w:hAnsi="Times New Roman" w:cs="Times New Roman"/>
                <w:lang w:val="en-CA"/>
              </w:rPr>
              <w:t>—</w:t>
            </w:r>
            <w:r w:rsidRPr="00777D83">
              <w:rPr>
                <w:rFonts w:ascii="Times New Roman" w:hAnsi="Times New Roman" w:cs="Times New Roman"/>
                <w:lang w:val="en-CA"/>
              </w:rPr>
              <w:t>Calving</w:t>
            </w:r>
          </w:p>
        </w:tc>
        <w:tc>
          <w:tcPr>
            <w:tcW w:w="3888" w:type="dxa"/>
            <w:gridSpan w:val="3"/>
            <w:tcBorders>
              <w:top w:val="single" w:sz="4" w:space="0" w:color="auto"/>
              <w:bottom w:val="single" w:sz="4" w:space="0" w:color="auto"/>
            </w:tcBorders>
            <w:shd w:val="clear" w:color="auto" w:fill="auto"/>
            <w:tcMar>
              <w:top w:w="60" w:type="dxa"/>
              <w:left w:w="60" w:type="dxa"/>
              <w:bottom w:w="60" w:type="dxa"/>
              <w:right w:w="60" w:type="dxa"/>
            </w:tcMar>
          </w:tcPr>
          <w:p w14:paraId="516C433B" w14:textId="6CB9186C" w:rsidR="008471EB" w:rsidRPr="00777D83" w:rsidRDefault="008471EB" w:rsidP="00777D83">
            <w:pPr>
              <w:spacing w:line="480" w:lineRule="auto"/>
              <w:rPr>
                <w:rFonts w:ascii="Times New Roman" w:hAnsi="Times New Roman" w:cs="Times New Roman"/>
                <w:lang w:val="en-CA"/>
              </w:rPr>
            </w:pPr>
            <w:r w:rsidRPr="00777D83">
              <w:rPr>
                <w:rFonts w:ascii="Times New Roman" w:hAnsi="Times New Roman" w:cs="Times New Roman"/>
                <w:lang w:val="en-CA"/>
              </w:rPr>
              <w:t>IRG</w:t>
            </w:r>
            <w:r>
              <w:rPr>
                <w:rFonts w:ascii="Times New Roman" w:hAnsi="Times New Roman" w:cs="Times New Roman"/>
                <w:lang w:val="en-CA"/>
              </w:rPr>
              <w:t>—</w:t>
            </w:r>
            <w:r w:rsidRPr="00777D83">
              <w:rPr>
                <w:rFonts w:ascii="Times New Roman" w:hAnsi="Times New Roman" w:cs="Times New Roman"/>
                <w:lang w:val="en-CA"/>
              </w:rPr>
              <w:t>Migration</w:t>
            </w:r>
          </w:p>
        </w:tc>
      </w:tr>
      <w:tr w:rsidR="00F53795" w:rsidRPr="00777D83" w14:paraId="7A1FF3D4" w14:textId="415C1310" w:rsidTr="00F53795">
        <w:trPr>
          <w:trHeight w:val="165"/>
        </w:trPr>
        <w:tc>
          <w:tcPr>
            <w:tcW w:w="1228" w:type="dxa"/>
            <w:tcBorders>
              <w:top w:val="single" w:sz="4" w:space="0" w:color="auto"/>
              <w:bottom w:val="single" w:sz="4" w:space="0" w:color="auto"/>
            </w:tcBorders>
            <w:shd w:val="clear" w:color="auto" w:fill="auto"/>
            <w:tcMar>
              <w:top w:w="60" w:type="dxa"/>
              <w:left w:w="60" w:type="dxa"/>
              <w:bottom w:w="60" w:type="dxa"/>
              <w:right w:w="60" w:type="dxa"/>
            </w:tcMar>
            <w:hideMark/>
          </w:tcPr>
          <w:p w14:paraId="2DA81C1C" w14:textId="77777777" w:rsidR="008471EB" w:rsidRPr="00777D83" w:rsidRDefault="008471EB" w:rsidP="00777D83">
            <w:pPr>
              <w:spacing w:line="480" w:lineRule="auto"/>
              <w:rPr>
                <w:rFonts w:ascii="Times New Roman" w:hAnsi="Times New Roman" w:cs="Times New Roman"/>
                <w:lang w:val="en-CA"/>
              </w:rPr>
            </w:pPr>
            <w:r w:rsidRPr="00777D83">
              <w:rPr>
                <w:rFonts w:ascii="Times New Roman" w:hAnsi="Times New Roman" w:cs="Times New Roman"/>
                <w:lang w:val="en-CA"/>
              </w:rPr>
              <w:t>Herd</w:t>
            </w:r>
          </w:p>
        </w:tc>
        <w:tc>
          <w:tcPr>
            <w:tcW w:w="1891" w:type="dxa"/>
            <w:tcBorders>
              <w:top w:val="single" w:sz="4" w:space="0" w:color="auto"/>
              <w:bottom w:val="single" w:sz="4" w:space="0" w:color="auto"/>
            </w:tcBorders>
            <w:shd w:val="clear" w:color="auto" w:fill="auto"/>
            <w:tcMar>
              <w:top w:w="60" w:type="dxa"/>
              <w:left w:w="60" w:type="dxa"/>
              <w:bottom w:w="60" w:type="dxa"/>
              <w:right w:w="60" w:type="dxa"/>
            </w:tcMar>
            <w:hideMark/>
          </w:tcPr>
          <w:p w14:paraId="254B39BC" w14:textId="43142EC8" w:rsidR="008471EB" w:rsidRPr="00777D83" w:rsidRDefault="008471EB" w:rsidP="00777D83">
            <w:pPr>
              <w:spacing w:line="480" w:lineRule="auto"/>
              <w:rPr>
                <w:rFonts w:ascii="Times New Roman" w:hAnsi="Times New Roman" w:cs="Times New Roman"/>
                <w:lang w:val="en-CA"/>
              </w:rPr>
            </w:pPr>
            <w:r>
              <w:rPr>
                <w:rFonts w:ascii="Times New Roman" w:hAnsi="Times New Roman" w:cs="Times New Roman"/>
                <w:lang w:val="en-CA"/>
              </w:rPr>
              <w:t>Estimate (r</w:t>
            </w:r>
            <w:r w:rsidRPr="00777D83">
              <w:rPr>
                <w:rFonts w:ascii="Times New Roman" w:hAnsi="Times New Roman" w:cs="Times New Roman"/>
                <w:lang w:val="en-CA"/>
              </w:rPr>
              <w:t>ange</w:t>
            </w:r>
            <w:r>
              <w:rPr>
                <w:rFonts w:ascii="Times New Roman" w:hAnsi="Times New Roman" w:cs="Times New Roman"/>
                <w:lang w:val="en-CA"/>
              </w:rPr>
              <w:t>)</w:t>
            </w:r>
          </w:p>
        </w:tc>
        <w:tc>
          <w:tcPr>
            <w:tcW w:w="792" w:type="dxa"/>
            <w:tcBorders>
              <w:top w:val="single" w:sz="4" w:space="0" w:color="auto"/>
              <w:bottom w:val="single" w:sz="4" w:space="0" w:color="auto"/>
            </w:tcBorders>
            <w:shd w:val="clear" w:color="auto" w:fill="auto"/>
            <w:tcMar>
              <w:top w:w="60" w:type="dxa"/>
              <w:left w:w="60" w:type="dxa"/>
              <w:bottom w:w="60" w:type="dxa"/>
              <w:right w:w="60" w:type="dxa"/>
            </w:tcMar>
            <w:hideMark/>
          </w:tcPr>
          <w:p w14:paraId="51F2B9C9" w14:textId="3CE89BA4" w:rsidR="008471EB" w:rsidRPr="00777D83" w:rsidRDefault="008471EB" w:rsidP="00777D83">
            <w:pPr>
              <w:spacing w:line="480" w:lineRule="auto"/>
              <w:rPr>
                <w:rFonts w:ascii="Times New Roman" w:hAnsi="Times New Roman" w:cs="Times New Roman"/>
                <w:lang w:val="en-CA"/>
              </w:rPr>
            </w:pPr>
            <w:r w:rsidRPr="00777D83">
              <w:rPr>
                <w:rFonts w:ascii="Times New Roman" w:hAnsi="Times New Roman" w:cs="Times New Roman"/>
                <w:lang w:val="en-CA"/>
              </w:rPr>
              <w:t>Differ</w:t>
            </w:r>
            <w:r w:rsidR="00361E7C">
              <w:rPr>
                <w:rFonts w:ascii="Times New Roman" w:hAnsi="Times New Roman" w:cs="Times New Roman"/>
                <w:lang w:val="en-CA"/>
              </w:rPr>
              <w:t>-</w:t>
            </w:r>
            <w:proofErr w:type="spellStart"/>
            <w:r w:rsidRPr="00777D83">
              <w:rPr>
                <w:rFonts w:ascii="Times New Roman" w:hAnsi="Times New Roman" w:cs="Times New Roman"/>
                <w:lang w:val="en-CA"/>
              </w:rPr>
              <w:t>ence</w:t>
            </w:r>
            <w:proofErr w:type="spellEnd"/>
          </w:p>
        </w:tc>
        <w:tc>
          <w:tcPr>
            <w:tcW w:w="1334" w:type="dxa"/>
            <w:tcBorders>
              <w:top w:val="single" w:sz="4" w:space="0" w:color="auto"/>
              <w:bottom w:val="single" w:sz="4" w:space="0" w:color="auto"/>
            </w:tcBorders>
          </w:tcPr>
          <w:p w14:paraId="5394B246" w14:textId="5577A2E8" w:rsidR="008471EB" w:rsidRDefault="008471EB" w:rsidP="00F53795">
            <w:pPr>
              <w:spacing w:line="480" w:lineRule="auto"/>
              <w:jc w:val="center"/>
              <w:rPr>
                <w:rFonts w:ascii="Times New Roman" w:hAnsi="Times New Roman" w:cs="Times New Roman"/>
                <w:lang w:val="en-CA"/>
              </w:rPr>
            </w:pPr>
            <w:r>
              <w:rPr>
                <w:rFonts w:ascii="Times New Roman" w:hAnsi="Times New Roman" w:cs="Times New Roman"/>
                <w:lang w:val="en-CA"/>
              </w:rPr>
              <w:t>LL</w:t>
            </w:r>
          </w:p>
        </w:tc>
        <w:tc>
          <w:tcPr>
            <w:tcW w:w="1843" w:type="dxa"/>
            <w:tcBorders>
              <w:top w:val="single" w:sz="4" w:space="0" w:color="auto"/>
              <w:bottom w:val="single" w:sz="4" w:space="0" w:color="auto"/>
            </w:tcBorders>
            <w:shd w:val="clear" w:color="auto" w:fill="auto"/>
            <w:tcMar>
              <w:top w:w="60" w:type="dxa"/>
              <w:left w:w="60" w:type="dxa"/>
              <w:bottom w:w="60" w:type="dxa"/>
              <w:right w:w="60" w:type="dxa"/>
            </w:tcMar>
            <w:hideMark/>
          </w:tcPr>
          <w:p w14:paraId="67CE41B6" w14:textId="7893A7AE" w:rsidR="008471EB" w:rsidRPr="00777D83" w:rsidRDefault="008471EB" w:rsidP="00777D83">
            <w:pPr>
              <w:spacing w:line="480" w:lineRule="auto"/>
              <w:rPr>
                <w:rFonts w:ascii="Times New Roman" w:hAnsi="Times New Roman" w:cs="Times New Roman"/>
                <w:lang w:val="en-CA"/>
              </w:rPr>
            </w:pPr>
            <w:r>
              <w:rPr>
                <w:rFonts w:ascii="Times New Roman" w:hAnsi="Times New Roman" w:cs="Times New Roman"/>
                <w:lang w:val="en-CA"/>
              </w:rPr>
              <w:t>Estimate (r</w:t>
            </w:r>
            <w:r w:rsidRPr="00777D83">
              <w:rPr>
                <w:rFonts w:ascii="Times New Roman" w:hAnsi="Times New Roman" w:cs="Times New Roman"/>
                <w:lang w:val="en-CA"/>
              </w:rPr>
              <w:t>ange</w:t>
            </w:r>
            <w:r>
              <w:rPr>
                <w:rFonts w:ascii="Times New Roman" w:hAnsi="Times New Roman" w:cs="Times New Roman"/>
                <w:lang w:val="en-CA"/>
              </w:rPr>
              <w:t>)</w:t>
            </w:r>
          </w:p>
        </w:tc>
        <w:tc>
          <w:tcPr>
            <w:tcW w:w="709" w:type="dxa"/>
            <w:tcBorders>
              <w:top w:val="single" w:sz="4" w:space="0" w:color="auto"/>
              <w:bottom w:val="single" w:sz="4" w:space="0" w:color="auto"/>
            </w:tcBorders>
            <w:shd w:val="clear" w:color="auto" w:fill="auto"/>
            <w:tcMar>
              <w:top w:w="60" w:type="dxa"/>
              <w:left w:w="60" w:type="dxa"/>
              <w:bottom w:w="60" w:type="dxa"/>
              <w:right w:w="60" w:type="dxa"/>
            </w:tcMar>
            <w:hideMark/>
          </w:tcPr>
          <w:p w14:paraId="6EBBE052" w14:textId="36C09462" w:rsidR="008471EB" w:rsidRPr="00777D83" w:rsidRDefault="008471EB" w:rsidP="00777D83">
            <w:pPr>
              <w:spacing w:line="480" w:lineRule="auto"/>
              <w:rPr>
                <w:rFonts w:ascii="Times New Roman" w:hAnsi="Times New Roman" w:cs="Times New Roman"/>
                <w:lang w:val="en-CA"/>
              </w:rPr>
            </w:pPr>
            <w:r w:rsidRPr="00777D83">
              <w:rPr>
                <w:rFonts w:ascii="Times New Roman" w:hAnsi="Times New Roman" w:cs="Times New Roman"/>
                <w:lang w:val="en-CA"/>
              </w:rPr>
              <w:t>Differ</w:t>
            </w:r>
            <w:r w:rsidR="00361E7C">
              <w:rPr>
                <w:rFonts w:ascii="Times New Roman" w:hAnsi="Times New Roman" w:cs="Times New Roman"/>
                <w:lang w:val="en-CA"/>
              </w:rPr>
              <w:t>-</w:t>
            </w:r>
            <w:proofErr w:type="spellStart"/>
            <w:r w:rsidRPr="00777D83">
              <w:rPr>
                <w:rFonts w:ascii="Times New Roman" w:hAnsi="Times New Roman" w:cs="Times New Roman"/>
                <w:lang w:val="en-CA"/>
              </w:rPr>
              <w:t>ence</w:t>
            </w:r>
            <w:proofErr w:type="spellEnd"/>
          </w:p>
        </w:tc>
        <w:tc>
          <w:tcPr>
            <w:tcW w:w="1275" w:type="dxa"/>
            <w:tcBorders>
              <w:top w:val="single" w:sz="4" w:space="0" w:color="auto"/>
              <w:bottom w:val="single" w:sz="4" w:space="0" w:color="auto"/>
            </w:tcBorders>
          </w:tcPr>
          <w:p w14:paraId="5A3AD36A" w14:textId="711AB0A7" w:rsidR="008471EB" w:rsidRDefault="008471EB" w:rsidP="00F53795">
            <w:pPr>
              <w:spacing w:line="480" w:lineRule="auto"/>
              <w:jc w:val="center"/>
              <w:rPr>
                <w:rFonts w:ascii="Times New Roman" w:hAnsi="Times New Roman" w:cs="Times New Roman"/>
                <w:lang w:val="en-CA"/>
              </w:rPr>
            </w:pPr>
            <w:r>
              <w:rPr>
                <w:rFonts w:ascii="Times New Roman" w:hAnsi="Times New Roman" w:cs="Times New Roman"/>
                <w:lang w:val="en-CA"/>
              </w:rPr>
              <w:t>LL</w:t>
            </w:r>
          </w:p>
        </w:tc>
        <w:tc>
          <w:tcPr>
            <w:tcW w:w="1843" w:type="dxa"/>
            <w:tcBorders>
              <w:top w:val="single" w:sz="4" w:space="0" w:color="auto"/>
              <w:bottom w:val="single" w:sz="4" w:space="0" w:color="auto"/>
            </w:tcBorders>
            <w:shd w:val="clear" w:color="auto" w:fill="auto"/>
            <w:tcMar>
              <w:top w:w="60" w:type="dxa"/>
              <w:left w:w="60" w:type="dxa"/>
              <w:bottom w:w="60" w:type="dxa"/>
              <w:right w:w="60" w:type="dxa"/>
            </w:tcMar>
            <w:hideMark/>
          </w:tcPr>
          <w:p w14:paraId="389997A2" w14:textId="2A49547C" w:rsidR="008471EB" w:rsidRPr="00777D83" w:rsidRDefault="008471EB" w:rsidP="00777D83">
            <w:pPr>
              <w:spacing w:line="480" w:lineRule="auto"/>
              <w:rPr>
                <w:rFonts w:ascii="Times New Roman" w:hAnsi="Times New Roman" w:cs="Times New Roman"/>
                <w:lang w:val="en-CA"/>
              </w:rPr>
            </w:pPr>
            <w:r>
              <w:rPr>
                <w:rFonts w:ascii="Times New Roman" w:hAnsi="Times New Roman" w:cs="Times New Roman"/>
                <w:lang w:val="en-CA"/>
              </w:rPr>
              <w:t>Estimate (r</w:t>
            </w:r>
            <w:r w:rsidRPr="00777D83">
              <w:rPr>
                <w:rFonts w:ascii="Times New Roman" w:hAnsi="Times New Roman" w:cs="Times New Roman"/>
                <w:lang w:val="en-CA"/>
              </w:rPr>
              <w:t>ange</w:t>
            </w:r>
            <w:r>
              <w:rPr>
                <w:rFonts w:ascii="Times New Roman" w:hAnsi="Times New Roman" w:cs="Times New Roman"/>
                <w:lang w:val="en-CA"/>
              </w:rPr>
              <w:t>)</w:t>
            </w:r>
          </w:p>
        </w:tc>
        <w:tc>
          <w:tcPr>
            <w:tcW w:w="709" w:type="dxa"/>
            <w:tcBorders>
              <w:top w:val="single" w:sz="4" w:space="0" w:color="auto"/>
              <w:bottom w:val="single" w:sz="4" w:space="0" w:color="auto"/>
            </w:tcBorders>
            <w:shd w:val="clear" w:color="auto" w:fill="auto"/>
            <w:tcMar>
              <w:top w:w="60" w:type="dxa"/>
              <w:left w:w="60" w:type="dxa"/>
              <w:bottom w:w="60" w:type="dxa"/>
              <w:right w:w="60" w:type="dxa"/>
            </w:tcMar>
            <w:hideMark/>
          </w:tcPr>
          <w:p w14:paraId="775B06C7" w14:textId="1DF2FBFF" w:rsidR="008471EB" w:rsidRPr="00777D83" w:rsidRDefault="008471EB" w:rsidP="00777D83">
            <w:pPr>
              <w:spacing w:line="480" w:lineRule="auto"/>
              <w:rPr>
                <w:rFonts w:ascii="Times New Roman" w:hAnsi="Times New Roman" w:cs="Times New Roman"/>
                <w:lang w:val="en-CA"/>
              </w:rPr>
            </w:pPr>
            <w:r w:rsidRPr="00777D83">
              <w:rPr>
                <w:rFonts w:ascii="Times New Roman" w:hAnsi="Times New Roman" w:cs="Times New Roman"/>
                <w:lang w:val="en-CA"/>
              </w:rPr>
              <w:t>Differ</w:t>
            </w:r>
            <w:r w:rsidR="00361E7C">
              <w:rPr>
                <w:rFonts w:ascii="Times New Roman" w:hAnsi="Times New Roman" w:cs="Times New Roman"/>
                <w:lang w:val="en-CA"/>
              </w:rPr>
              <w:t>-</w:t>
            </w:r>
            <w:proofErr w:type="spellStart"/>
            <w:r w:rsidRPr="00777D83">
              <w:rPr>
                <w:rFonts w:ascii="Times New Roman" w:hAnsi="Times New Roman" w:cs="Times New Roman"/>
                <w:lang w:val="en-CA"/>
              </w:rPr>
              <w:t>ence</w:t>
            </w:r>
            <w:proofErr w:type="spellEnd"/>
          </w:p>
        </w:tc>
        <w:tc>
          <w:tcPr>
            <w:tcW w:w="1336" w:type="dxa"/>
            <w:tcBorders>
              <w:top w:val="single" w:sz="4" w:space="0" w:color="auto"/>
              <w:bottom w:val="single" w:sz="4" w:space="0" w:color="auto"/>
            </w:tcBorders>
          </w:tcPr>
          <w:p w14:paraId="0454247C" w14:textId="3C83BC03" w:rsidR="008471EB" w:rsidRPr="00777D83" w:rsidRDefault="008471EB" w:rsidP="00F53795">
            <w:pPr>
              <w:spacing w:line="480" w:lineRule="auto"/>
              <w:jc w:val="center"/>
              <w:rPr>
                <w:rFonts w:ascii="Times New Roman" w:hAnsi="Times New Roman" w:cs="Times New Roman"/>
                <w:lang w:val="en-CA"/>
              </w:rPr>
            </w:pPr>
            <w:r>
              <w:rPr>
                <w:rFonts w:ascii="Times New Roman" w:hAnsi="Times New Roman" w:cs="Times New Roman"/>
                <w:lang w:val="en-CA"/>
              </w:rPr>
              <w:t>LL</w:t>
            </w:r>
          </w:p>
        </w:tc>
      </w:tr>
      <w:tr w:rsidR="00D246B5" w:rsidRPr="00777D83" w14:paraId="3383C022" w14:textId="2B084A18" w:rsidTr="0083577A">
        <w:trPr>
          <w:trHeight w:val="180"/>
        </w:trPr>
        <w:tc>
          <w:tcPr>
            <w:tcW w:w="1228" w:type="dxa"/>
            <w:tcBorders>
              <w:top w:val="single" w:sz="4" w:space="0" w:color="auto"/>
            </w:tcBorders>
            <w:tcMar>
              <w:top w:w="60" w:type="dxa"/>
              <w:left w:w="60" w:type="dxa"/>
              <w:bottom w:w="60" w:type="dxa"/>
              <w:right w:w="60" w:type="dxa"/>
            </w:tcMar>
            <w:hideMark/>
          </w:tcPr>
          <w:p w14:paraId="669D8BE1" w14:textId="77777777" w:rsidR="00D246B5" w:rsidRPr="00777D83" w:rsidRDefault="00D246B5" w:rsidP="00D246B5">
            <w:pPr>
              <w:spacing w:line="480" w:lineRule="auto"/>
              <w:rPr>
                <w:rFonts w:ascii="Times New Roman" w:hAnsi="Times New Roman" w:cs="Times New Roman"/>
                <w:lang w:val="en-CA"/>
              </w:rPr>
            </w:pPr>
            <w:r w:rsidRPr="00777D83">
              <w:rPr>
                <w:rFonts w:ascii="Times New Roman" w:hAnsi="Times New Roman" w:cs="Times New Roman"/>
                <w:lang w:val="en-CA"/>
              </w:rPr>
              <w:t>All</w:t>
            </w:r>
          </w:p>
        </w:tc>
        <w:tc>
          <w:tcPr>
            <w:tcW w:w="1891" w:type="dxa"/>
            <w:tcBorders>
              <w:top w:val="single" w:sz="4" w:space="0" w:color="auto"/>
            </w:tcBorders>
            <w:tcMar>
              <w:top w:w="60" w:type="dxa"/>
              <w:left w:w="60" w:type="dxa"/>
              <w:bottom w:w="60" w:type="dxa"/>
              <w:right w:w="60" w:type="dxa"/>
            </w:tcMar>
            <w:vAlign w:val="bottom"/>
            <w:hideMark/>
          </w:tcPr>
          <w:p w14:paraId="450C3777" w14:textId="1717B4A3"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-7 (-7.1, -7)</w:t>
            </w:r>
          </w:p>
        </w:tc>
        <w:tc>
          <w:tcPr>
            <w:tcW w:w="792" w:type="dxa"/>
            <w:tcBorders>
              <w:top w:val="single" w:sz="4" w:space="0" w:color="auto"/>
            </w:tcBorders>
            <w:tcMar>
              <w:top w:w="60" w:type="dxa"/>
              <w:left w:w="60" w:type="dxa"/>
              <w:bottom w:w="60" w:type="dxa"/>
              <w:right w:w="60" w:type="dxa"/>
            </w:tcMar>
            <w:vAlign w:val="bottom"/>
            <w:hideMark/>
          </w:tcPr>
          <w:p w14:paraId="00B8AC52" w14:textId="682F089C"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0.1</w:t>
            </w:r>
          </w:p>
        </w:tc>
        <w:tc>
          <w:tcPr>
            <w:tcW w:w="1334" w:type="dxa"/>
            <w:tcBorders>
              <w:top w:val="single" w:sz="4" w:space="0" w:color="auto"/>
            </w:tcBorders>
            <w:vAlign w:val="bottom"/>
          </w:tcPr>
          <w:p w14:paraId="20BC2DB0" w14:textId="56DA4054"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-1203170.6</w:t>
            </w:r>
          </w:p>
        </w:tc>
        <w:tc>
          <w:tcPr>
            <w:tcW w:w="1843" w:type="dxa"/>
            <w:tcBorders>
              <w:top w:val="single" w:sz="4" w:space="0" w:color="auto"/>
            </w:tcBorders>
            <w:tcMar>
              <w:top w:w="60" w:type="dxa"/>
              <w:left w:w="60" w:type="dxa"/>
              <w:bottom w:w="60" w:type="dxa"/>
              <w:right w:w="60" w:type="dxa"/>
            </w:tcMar>
            <w:vAlign w:val="bottom"/>
            <w:hideMark/>
          </w:tcPr>
          <w:p w14:paraId="47B78255" w14:textId="4E04542D"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4 (3, 4.3)</w:t>
            </w:r>
          </w:p>
        </w:tc>
        <w:tc>
          <w:tcPr>
            <w:tcW w:w="709" w:type="dxa"/>
            <w:tcBorders>
              <w:top w:val="single" w:sz="4" w:space="0" w:color="auto"/>
            </w:tcBorders>
            <w:tcMar>
              <w:top w:w="60" w:type="dxa"/>
              <w:left w:w="60" w:type="dxa"/>
              <w:bottom w:w="60" w:type="dxa"/>
              <w:right w:w="60" w:type="dxa"/>
            </w:tcMar>
            <w:vAlign w:val="bottom"/>
            <w:hideMark/>
          </w:tcPr>
          <w:p w14:paraId="660FC7BA" w14:textId="7A8ADF54"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1.3</w:t>
            </w:r>
          </w:p>
        </w:tc>
        <w:tc>
          <w:tcPr>
            <w:tcW w:w="1275" w:type="dxa"/>
            <w:tcBorders>
              <w:top w:val="single" w:sz="4" w:space="0" w:color="auto"/>
            </w:tcBorders>
            <w:vAlign w:val="bottom"/>
          </w:tcPr>
          <w:p w14:paraId="6E461E06" w14:textId="5DB78159"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-636481.44</w:t>
            </w:r>
          </w:p>
        </w:tc>
        <w:tc>
          <w:tcPr>
            <w:tcW w:w="1843" w:type="dxa"/>
            <w:tcBorders>
              <w:top w:val="single" w:sz="4" w:space="0" w:color="auto"/>
            </w:tcBorders>
            <w:tcMar>
              <w:top w:w="60" w:type="dxa"/>
              <w:left w:w="60" w:type="dxa"/>
              <w:bottom w:w="60" w:type="dxa"/>
              <w:right w:w="60" w:type="dxa"/>
            </w:tcMar>
            <w:vAlign w:val="bottom"/>
            <w:hideMark/>
          </w:tcPr>
          <w:p w14:paraId="066E0F81" w14:textId="289199EC"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-60 (-60.2, -59)</w:t>
            </w:r>
          </w:p>
        </w:tc>
        <w:tc>
          <w:tcPr>
            <w:tcW w:w="709" w:type="dxa"/>
            <w:tcBorders>
              <w:top w:val="single" w:sz="4" w:space="0" w:color="auto"/>
            </w:tcBorders>
            <w:tcMar>
              <w:top w:w="60" w:type="dxa"/>
              <w:left w:w="60" w:type="dxa"/>
              <w:bottom w:w="60" w:type="dxa"/>
              <w:right w:w="60" w:type="dxa"/>
            </w:tcMar>
            <w:vAlign w:val="bottom"/>
            <w:hideMark/>
          </w:tcPr>
          <w:p w14:paraId="47556EAD" w14:textId="1E348D55"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1.2</w:t>
            </w:r>
          </w:p>
        </w:tc>
        <w:tc>
          <w:tcPr>
            <w:tcW w:w="1336" w:type="dxa"/>
            <w:tcBorders>
              <w:top w:val="single" w:sz="4" w:space="0" w:color="auto"/>
            </w:tcBorders>
            <w:vAlign w:val="bottom"/>
          </w:tcPr>
          <w:p w14:paraId="780F322A" w14:textId="7475AA23"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-1210719.7</w:t>
            </w:r>
          </w:p>
        </w:tc>
      </w:tr>
      <w:tr w:rsidR="00D246B5" w:rsidRPr="00777D83" w14:paraId="4E88B47B" w14:textId="7A045EFA" w:rsidTr="0083577A">
        <w:trPr>
          <w:trHeight w:val="165"/>
        </w:trPr>
        <w:tc>
          <w:tcPr>
            <w:tcW w:w="1228" w:type="dxa"/>
            <w:tcMar>
              <w:top w:w="60" w:type="dxa"/>
              <w:left w:w="60" w:type="dxa"/>
              <w:bottom w:w="60" w:type="dxa"/>
              <w:right w:w="60" w:type="dxa"/>
            </w:tcMar>
            <w:hideMark/>
          </w:tcPr>
          <w:p w14:paraId="1288AA09" w14:textId="77777777" w:rsidR="00D246B5" w:rsidRPr="00777D83" w:rsidRDefault="00D246B5" w:rsidP="00D246B5">
            <w:pPr>
              <w:spacing w:line="480" w:lineRule="auto"/>
              <w:rPr>
                <w:rFonts w:ascii="Times New Roman" w:hAnsi="Times New Roman" w:cs="Times New Roman"/>
                <w:lang w:val="en-CA"/>
              </w:rPr>
            </w:pPr>
            <w:proofErr w:type="spellStart"/>
            <w:r w:rsidRPr="00777D83">
              <w:rPr>
                <w:rFonts w:ascii="Times New Roman" w:hAnsi="Times New Roman" w:cs="Times New Roman"/>
                <w:lang w:val="en-CA"/>
              </w:rPr>
              <w:t>Buchans</w:t>
            </w:r>
            <w:proofErr w:type="spellEnd"/>
          </w:p>
        </w:tc>
        <w:tc>
          <w:tcPr>
            <w:tcW w:w="1891" w:type="dxa"/>
            <w:tcMar>
              <w:top w:w="60" w:type="dxa"/>
              <w:left w:w="60" w:type="dxa"/>
              <w:bottom w:w="60" w:type="dxa"/>
              <w:right w:w="60" w:type="dxa"/>
            </w:tcMar>
            <w:vAlign w:val="bottom"/>
            <w:hideMark/>
          </w:tcPr>
          <w:p w14:paraId="1FEFD45E" w14:textId="47C9ED12"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-6 (-6.1, -5.6)</w:t>
            </w:r>
          </w:p>
        </w:tc>
        <w:tc>
          <w:tcPr>
            <w:tcW w:w="792" w:type="dxa"/>
            <w:tcMar>
              <w:top w:w="60" w:type="dxa"/>
              <w:left w:w="60" w:type="dxa"/>
              <w:bottom w:w="60" w:type="dxa"/>
              <w:right w:w="60" w:type="dxa"/>
            </w:tcMar>
            <w:vAlign w:val="bottom"/>
            <w:hideMark/>
          </w:tcPr>
          <w:p w14:paraId="4EB2DD5C" w14:textId="033E29B7"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0.5</w:t>
            </w:r>
          </w:p>
        </w:tc>
        <w:tc>
          <w:tcPr>
            <w:tcW w:w="1334" w:type="dxa"/>
            <w:vAlign w:val="bottom"/>
          </w:tcPr>
          <w:p w14:paraId="79246FA9" w14:textId="756091F1"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-224873.13</w:t>
            </w:r>
          </w:p>
        </w:tc>
        <w:tc>
          <w:tcPr>
            <w:tcW w:w="1843" w:type="dxa"/>
            <w:tcMar>
              <w:top w:w="60" w:type="dxa"/>
              <w:left w:w="60" w:type="dxa"/>
              <w:bottom w:w="60" w:type="dxa"/>
              <w:right w:w="60" w:type="dxa"/>
            </w:tcMar>
            <w:vAlign w:val="bottom"/>
            <w:hideMark/>
          </w:tcPr>
          <w:p w14:paraId="3EE2E9A4" w14:textId="674B0794"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8 (6.9, 9.3)</w:t>
            </w:r>
          </w:p>
        </w:tc>
        <w:tc>
          <w:tcPr>
            <w:tcW w:w="709" w:type="dxa"/>
            <w:tcMar>
              <w:top w:w="60" w:type="dxa"/>
              <w:left w:w="60" w:type="dxa"/>
              <w:bottom w:w="60" w:type="dxa"/>
              <w:right w:w="60" w:type="dxa"/>
            </w:tcMar>
            <w:vAlign w:val="bottom"/>
            <w:hideMark/>
          </w:tcPr>
          <w:p w14:paraId="2229FC8A" w14:textId="64F1C854"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2.4</w:t>
            </w:r>
          </w:p>
        </w:tc>
        <w:tc>
          <w:tcPr>
            <w:tcW w:w="1275" w:type="dxa"/>
            <w:vAlign w:val="bottom"/>
          </w:tcPr>
          <w:p w14:paraId="382C980B" w14:textId="34DAC834"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-118198.26</w:t>
            </w:r>
          </w:p>
        </w:tc>
        <w:tc>
          <w:tcPr>
            <w:tcW w:w="1843" w:type="dxa"/>
            <w:tcMar>
              <w:top w:w="60" w:type="dxa"/>
              <w:left w:w="60" w:type="dxa"/>
              <w:bottom w:w="60" w:type="dxa"/>
              <w:right w:w="60" w:type="dxa"/>
            </w:tcMar>
            <w:vAlign w:val="bottom"/>
            <w:hideMark/>
          </w:tcPr>
          <w:p w14:paraId="3FCA0A4E" w14:textId="40BFC479"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-64 (-65.5, -63.4)</w:t>
            </w:r>
          </w:p>
        </w:tc>
        <w:tc>
          <w:tcPr>
            <w:tcW w:w="709" w:type="dxa"/>
            <w:tcMar>
              <w:top w:w="60" w:type="dxa"/>
              <w:left w:w="60" w:type="dxa"/>
              <w:bottom w:w="60" w:type="dxa"/>
              <w:right w:w="60" w:type="dxa"/>
            </w:tcMar>
            <w:vAlign w:val="bottom"/>
            <w:hideMark/>
          </w:tcPr>
          <w:p w14:paraId="44FA39D0" w14:textId="375D7AFA"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2.1</w:t>
            </w:r>
          </w:p>
        </w:tc>
        <w:tc>
          <w:tcPr>
            <w:tcW w:w="1336" w:type="dxa"/>
            <w:vAlign w:val="bottom"/>
          </w:tcPr>
          <w:p w14:paraId="14BCA86A" w14:textId="7525E62D"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-226292.2</w:t>
            </w:r>
          </w:p>
        </w:tc>
      </w:tr>
      <w:tr w:rsidR="00D246B5" w:rsidRPr="00777D83" w14:paraId="21F72AA1" w14:textId="2495AD45" w:rsidTr="0083577A">
        <w:trPr>
          <w:trHeight w:val="165"/>
        </w:trPr>
        <w:tc>
          <w:tcPr>
            <w:tcW w:w="1228" w:type="dxa"/>
            <w:tcMar>
              <w:top w:w="60" w:type="dxa"/>
              <w:left w:w="60" w:type="dxa"/>
              <w:bottom w:w="60" w:type="dxa"/>
              <w:right w:w="60" w:type="dxa"/>
            </w:tcMar>
            <w:hideMark/>
          </w:tcPr>
          <w:p w14:paraId="7EEB4561" w14:textId="77777777" w:rsidR="00D246B5" w:rsidRPr="00777D83" w:rsidRDefault="00D246B5" w:rsidP="00D246B5">
            <w:pPr>
              <w:spacing w:line="480" w:lineRule="auto"/>
              <w:rPr>
                <w:rFonts w:ascii="Times New Roman" w:hAnsi="Times New Roman" w:cs="Times New Roman"/>
                <w:lang w:val="en-CA"/>
              </w:rPr>
            </w:pPr>
            <w:r w:rsidRPr="00777D83">
              <w:rPr>
                <w:rFonts w:ascii="Times New Roman" w:hAnsi="Times New Roman" w:cs="Times New Roman"/>
                <w:lang w:val="en-CA"/>
              </w:rPr>
              <w:t>Grey River</w:t>
            </w:r>
          </w:p>
        </w:tc>
        <w:tc>
          <w:tcPr>
            <w:tcW w:w="1891" w:type="dxa"/>
            <w:tcMar>
              <w:top w:w="60" w:type="dxa"/>
              <w:left w:w="60" w:type="dxa"/>
              <w:bottom w:w="60" w:type="dxa"/>
              <w:right w:w="60" w:type="dxa"/>
            </w:tcMar>
            <w:vAlign w:val="bottom"/>
            <w:hideMark/>
          </w:tcPr>
          <w:p w14:paraId="22D197BF" w14:textId="6E7935E5"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-3 (-3.2, -2.8)</w:t>
            </w:r>
          </w:p>
        </w:tc>
        <w:tc>
          <w:tcPr>
            <w:tcW w:w="792" w:type="dxa"/>
            <w:tcMar>
              <w:top w:w="60" w:type="dxa"/>
              <w:left w:w="60" w:type="dxa"/>
              <w:bottom w:w="60" w:type="dxa"/>
              <w:right w:w="60" w:type="dxa"/>
            </w:tcMar>
            <w:vAlign w:val="bottom"/>
            <w:hideMark/>
          </w:tcPr>
          <w:p w14:paraId="5DB73774" w14:textId="45E01B8A"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0.4</w:t>
            </w:r>
          </w:p>
        </w:tc>
        <w:tc>
          <w:tcPr>
            <w:tcW w:w="1334" w:type="dxa"/>
            <w:vAlign w:val="bottom"/>
          </w:tcPr>
          <w:p w14:paraId="7A6C2A4B" w14:textId="659F0804"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-202849.83</w:t>
            </w:r>
          </w:p>
        </w:tc>
        <w:tc>
          <w:tcPr>
            <w:tcW w:w="1843" w:type="dxa"/>
            <w:tcMar>
              <w:top w:w="60" w:type="dxa"/>
              <w:left w:w="60" w:type="dxa"/>
              <w:bottom w:w="60" w:type="dxa"/>
              <w:right w:w="60" w:type="dxa"/>
            </w:tcMar>
            <w:vAlign w:val="bottom"/>
            <w:hideMark/>
          </w:tcPr>
          <w:p w14:paraId="58D73867" w14:textId="1BEE5A19"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4 (3.3, 6.8)</w:t>
            </w:r>
          </w:p>
        </w:tc>
        <w:tc>
          <w:tcPr>
            <w:tcW w:w="709" w:type="dxa"/>
            <w:tcMar>
              <w:top w:w="60" w:type="dxa"/>
              <w:left w:w="60" w:type="dxa"/>
              <w:bottom w:w="60" w:type="dxa"/>
              <w:right w:w="60" w:type="dxa"/>
            </w:tcMar>
            <w:vAlign w:val="bottom"/>
            <w:hideMark/>
          </w:tcPr>
          <w:p w14:paraId="539BAA66" w14:textId="6EF4643B"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3.5</w:t>
            </w:r>
          </w:p>
        </w:tc>
        <w:tc>
          <w:tcPr>
            <w:tcW w:w="1275" w:type="dxa"/>
            <w:vAlign w:val="bottom"/>
          </w:tcPr>
          <w:p w14:paraId="06D0EF8C" w14:textId="5322F285"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-107657.91</w:t>
            </w:r>
          </w:p>
        </w:tc>
        <w:tc>
          <w:tcPr>
            <w:tcW w:w="1843" w:type="dxa"/>
            <w:tcMar>
              <w:top w:w="60" w:type="dxa"/>
              <w:left w:w="60" w:type="dxa"/>
              <w:bottom w:w="60" w:type="dxa"/>
              <w:right w:w="60" w:type="dxa"/>
            </w:tcMar>
            <w:vAlign w:val="bottom"/>
            <w:hideMark/>
          </w:tcPr>
          <w:p w14:paraId="15E4E2E0" w14:textId="78D8EB41"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-15 (-30.5, NA)</w:t>
            </w:r>
          </w:p>
        </w:tc>
        <w:tc>
          <w:tcPr>
            <w:tcW w:w="709" w:type="dxa"/>
            <w:tcMar>
              <w:top w:w="60" w:type="dxa"/>
              <w:left w:w="60" w:type="dxa"/>
              <w:bottom w:w="60" w:type="dxa"/>
              <w:right w:w="60" w:type="dxa"/>
            </w:tcMar>
            <w:vAlign w:val="bottom"/>
            <w:hideMark/>
          </w:tcPr>
          <w:p w14:paraId="08E05A5C" w14:textId="2F468FEF"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NA</w:t>
            </w:r>
          </w:p>
        </w:tc>
        <w:tc>
          <w:tcPr>
            <w:tcW w:w="1336" w:type="dxa"/>
            <w:vAlign w:val="bottom"/>
          </w:tcPr>
          <w:p w14:paraId="1D2503D7" w14:textId="187FDD2C"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-203687.85</w:t>
            </w:r>
          </w:p>
        </w:tc>
      </w:tr>
      <w:tr w:rsidR="00D246B5" w:rsidRPr="00777D83" w14:paraId="28C9D08E" w14:textId="3011056E" w:rsidTr="0083577A">
        <w:trPr>
          <w:trHeight w:val="165"/>
        </w:trPr>
        <w:tc>
          <w:tcPr>
            <w:tcW w:w="1228" w:type="dxa"/>
            <w:tcMar>
              <w:top w:w="60" w:type="dxa"/>
              <w:left w:w="60" w:type="dxa"/>
              <w:bottom w:w="60" w:type="dxa"/>
              <w:right w:w="60" w:type="dxa"/>
            </w:tcMar>
            <w:hideMark/>
          </w:tcPr>
          <w:p w14:paraId="6C7499B1" w14:textId="77777777" w:rsidR="00D246B5" w:rsidRPr="00777D83" w:rsidRDefault="00D246B5" w:rsidP="00D246B5">
            <w:pPr>
              <w:spacing w:line="480" w:lineRule="auto"/>
              <w:rPr>
                <w:rFonts w:ascii="Times New Roman" w:hAnsi="Times New Roman" w:cs="Times New Roman"/>
                <w:lang w:val="en-CA"/>
              </w:rPr>
            </w:pPr>
            <w:proofErr w:type="spellStart"/>
            <w:r w:rsidRPr="00777D83">
              <w:rPr>
                <w:rFonts w:ascii="Times New Roman" w:hAnsi="Times New Roman" w:cs="Times New Roman"/>
                <w:lang w:val="en-CA"/>
              </w:rPr>
              <w:t>Lapoile</w:t>
            </w:r>
            <w:proofErr w:type="spellEnd"/>
          </w:p>
        </w:tc>
        <w:tc>
          <w:tcPr>
            <w:tcW w:w="1891" w:type="dxa"/>
            <w:tcMar>
              <w:top w:w="60" w:type="dxa"/>
              <w:left w:w="60" w:type="dxa"/>
              <w:bottom w:w="60" w:type="dxa"/>
              <w:right w:w="60" w:type="dxa"/>
            </w:tcMar>
            <w:vAlign w:val="bottom"/>
            <w:hideMark/>
          </w:tcPr>
          <w:p w14:paraId="5038FA89" w14:textId="52D0700C"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-13 (-13.1, -13)</w:t>
            </w:r>
          </w:p>
        </w:tc>
        <w:tc>
          <w:tcPr>
            <w:tcW w:w="792" w:type="dxa"/>
            <w:tcMar>
              <w:top w:w="60" w:type="dxa"/>
              <w:left w:w="60" w:type="dxa"/>
              <w:bottom w:w="60" w:type="dxa"/>
              <w:right w:w="60" w:type="dxa"/>
            </w:tcMar>
            <w:vAlign w:val="bottom"/>
            <w:hideMark/>
          </w:tcPr>
          <w:p w14:paraId="34F02E84" w14:textId="178D4FBB"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0.1</w:t>
            </w:r>
          </w:p>
        </w:tc>
        <w:tc>
          <w:tcPr>
            <w:tcW w:w="1334" w:type="dxa"/>
            <w:vAlign w:val="bottom"/>
          </w:tcPr>
          <w:p w14:paraId="5D3F4135" w14:textId="4AA31BC7"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-312009.16</w:t>
            </w:r>
          </w:p>
        </w:tc>
        <w:tc>
          <w:tcPr>
            <w:tcW w:w="1843" w:type="dxa"/>
            <w:tcMar>
              <w:top w:w="60" w:type="dxa"/>
              <w:left w:w="60" w:type="dxa"/>
              <w:bottom w:w="60" w:type="dxa"/>
              <w:right w:w="60" w:type="dxa"/>
            </w:tcMar>
            <w:vAlign w:val="bottom"/>
            <w:hideMark/>
          </w:tcPr>
          <w:p w14:paraId="7D354222" w14:textId="77A3E9D5"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6 (5.5, 6.2)</w:t>
            </w:r>
          </w:p>
        </w:tc>
        <w:tc>
          <w:tcPr>
            <w:tcW w:w="709" w:type="dxa"/>
            <w:tcMar>
              <w:top w:w="60" w:type="dxa"/>
              <w:left w:w="60" w:type="dxa"/>
              <w:bottom w:w="60" w:type="dxa"/>
              <w:right w:w="60" w:type="dxa"/>
            </w:tcMar>
            <w:vAlign w:val="bottom"/>
            <w:hideMark/>
          </w:tcPr>
          <w:p w14:paraId="7F371DCA" w14:textId="6EC878FA"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0.7</w:t>
            </w:r>
          </w:p>
        </w:tc>
        <w:tc>
          <w:tcPr>
            <w:tcW w:w="1275" w:type="dxa"/>
            <w:vAlign w:val="bottom"/>
          </w:tcPr>
          <w:p w14:paraId="5F8F0A19" w14:textId="7C985BAE"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-133579.25</w:t>
            </w:r>
          </w:p>
        </w:tc>
        <w:tc>
          <w:tcPr>
            <w:tcW w:w="1843" w:type="dxa"/>
            <w:tcMar>
              <w:top w:w="60" w:type="dxa"/>
              <w:left w:w="60" w:type="dxa"/>
              <w:bottom w:w="60" w:type="dxa"/>
              <w:right w:w="60" w:type="dxa"/>
            </w:tcMar>
            <w:vAlign w:val="bottom"/>
            <w:hideMark/>
          </w:tcPr>
          <w:p w14:paraId="007ECFF0" w14:textId="7A22A07D"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-45 (-45.1, -44.5)</w:t>
            </w:r>
          </w:p>
        </w:tc>
        <w:tc>
          <w:tcPr>
            <w:tcW w:w="709" w:type="dxa"/>
            <w:tcMar>
              <w:top w:w="60" w:type="dxa"/>
              <w:left w:w="60" w:type="dxa"/>
              <w:bottom w:w="60" w:type="dxa"/>
              <w:right w:w="60" w:type="dxa"/>
            </w:tcMar>
            <w:vAlign w:val="bottom"/>
            <w:hideMark/>
          </w:tcPr>
          <w:p w14:paraId="1BFBDFEA" w14:textId="7FEDF117"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0.6</w:t>
            </w:r>
          </w:p>
        </w:tc>
        <w:tc>
          <w:tcPr>
            <w:tcW w:w="1336" w:type="dxa"/>
            <w:vAlign w:val="bottom"/>
          </w:tcPr>
          <w:p w14:paraId="180A1AE4" w14:textId="4C3A091C"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-315670.7</w:t>
            </w:r>
          </w:p>
        </w:tc>
      </w:tr>
      <w:tr w:rsidR="00D246B5" w:rsidRPr="00777D83" w14:paraId="03776BA4" w14:textId="56B64CB5" w:rsidTr="0083577A">
        <w:trPr>
          <w:trHeight w:val="165"/>
        </w:trPr>
        <w:tc>
          <w:tcPr>
            <w:tcW w:w="1228" w:type="dxa"/>
            <w:tcMar>
              <w:top w:w="60" w:type="dxa"/>
              <w:left w:w="60" w:type="dxa"/>
              <w:bottom w:w="60" w:type="dxa"/>
              <w:right w:w="60" w:type="dxa"/>
            </w:tcMar>
            <w:hideMark/>
          </w:tcPr>
          <w:p w14:paraId="370E0227" w14:textId="77777777" w:rsidR="00D246B5" w:rsidRPr="00777D83" w:rsidRDefault="00D246B5" w:rsidP="00D246B5">
            <w:pPr>
              <w:spacing w:line="480" w:lineRule="auto"/>
              <w:rPr>
                <w:rFonts w:ascii="Times New Roman" w:hAnsi="Times New Roman" w:cs="Times New Roman"/>
                <w:lang w:val="en-CA"/>
              </w:rPr>
            </w:pPr>
            <w:r w:rsidRPr="00777D83">
              <w:rPr>
                <w:rFonts w:ascii="Times New Roman" w:hAnsi="Times New Roman" w:cs="Times New Roman"/>
                <w:lang w:val="en-CA"/>
              </w:rPr>
              <w:lastRenderedPageBreak/>
              <w:t>Middle Ridge</w:t>
            </w:r>
          </w:p>
        </w:tc>
        <w:tc>
          <w:tcPr>
            <w:tcW w:w="1891" w:type="dxa"/>
            <w:tcMar>
              <w:top w:w="60" w:type="dxa"/>
              <w:left w:w="60" w:type="dxa"/>
              <w:bottom w:w="60" w:type="dxa"/>
              <w:right w:w="60" w:type="dxa"/>
            </w:tcMar>
            <w:vAlign w:val="bottom"/>
            <w:hideMark/>
          </w:tcPr>
          <w:p w14:paraId="2F7567BD" w14:textId="5F066B3D"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2 (1.6, 2.2)</w:t>
            </w:r>
          </w:p>
        </w:tc>
        <w:tc>
          <w:tcPr>
            <w:tcW w:w="792" w:type="dxa"/>
            <w:tcMar>
              <w:top w:w="60" w:type="dxa"/>
              <w:left w:w="60" w:type="dxa"/>
              <w:bottom w:w="60" w:type="dxa"/>
              <w:right w:w="60" w:type="dxa"/>
            </w:tcMar>
            <w:vAlign w:val="bottom"/>
            <w:hideMark/>
          </w:tcPr>
          <w:p w14:paraId="461981C5" w14:textId="64A470B6"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0.6</w:t>
            </w:r>
          </w:p>
        </w:tc>
        <w:tc>
          <w:tcPr>
            <w:tcW w:w="1334" w:type="dxa"/>
            <w:vAlign w:val="bottom"/>
          </w:tcPr>
          <w:p w14:paraId="73ABACC1" w14:textId="6D49AC36"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-372759.19</w:t>
            </w:r>
          </w:p>
        </w:tc>
        <w:tc>
          <w:tcPr>
            <w:tcW w:w="1843" w:type="dxa"/>
            <w:tcMar>
              <w:top w:w="60" w:type="dxa"/>
              <w:left w:w="60" w:type="dxa"/>
              <w:bottom w:w="60" w:type="dxa"/>
              <w:right w:w="60" w:type="dxa"/>
            </w:tcMar>
            <w:vAlign w:val="bottom"/>
            <w:hideMark/>
          </w:tcPr>
          <w:p w14:paraId="5B9440AD" w14:textId="1792ADCE"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-11 (-12.6, -10)</w:t>
            </w:r>
          </w:p>
        </w:tc>
        <w:tc>
          <w:tcPr>
            <w:tcW w:w="709" w:type="dxa"/>
            <w:tcMar>
              <w:top w:w="60" w:type="dxa"/>
              <w:left w:w="60" w:type="dxa"/>
              <w:bottom w:w="60" w:type="dxa"/>
              <w:right w:w="60" w:type="dxa"/>
            </w:tcMar>
            <w:vAlign w:val="bottom"/>
            <w:hideMark/>
          </w:tcPr>
          <w:p w14:paraId="61820C14" w14:textId="5028517C"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2.6</w:t>
            </w:r>
          </w:p>
        </w:tc>
        <w:tc>
          <w:tcPr>
            <w:tcW w:w="1275" w:type="dxa"/>
            <w:vAlign w:val="bottom"/>
          </w:tcPr>
          <w:p w14:paraId="7EE85C5C" w14:textId="42FD9E27"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-214962.7</w:t>
            </w:r>
          </w:p>
        </w:tc>
        <w:tc>
          <w:tcPr>
            <w:tcW w:w="1843" w:type="dxa"/>
            <w:tcMar>
              <w:top w:w="60" w:type="dxa"/>
              <w:left w:w="60" w:type="dxa"/>
              <w:bottom w:w="60" w:type="dxa"/>
              <w:right w:w="60" w:type="dxa"/>
            </w:tcMar>
            <w:vAlign w:val="bottom"/>
            <w:hideMark/>
          </w:tcPr>
          <w:p w14:paraId="5516564C" w14:textId="711EC9FB"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-31 (-31.3, -29.5)</w:t>
            </w:r>
          </w:p>
        </w:tc>
        <w:tc>
          <w:tcPr>
            <w:tcW w:w="709" w:type="dxa"/>
            <w:tcMar>
              <w:top w:w="60" w:type="dxa"/>
              <w:left w:w="60" w:type="dxa"/>
              <w:bottom w:w="60" w:type="dxa"/>
              <w:right w:w="60" w:type="dxa"/>
            </w:tcMar>
            <w:vAlign w:val="bottom"/>
            <w:hideMark/>
          </w:tcPr>
          <w:p w14:paraId="54F98530" w14:textId="0080572F"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1.8</w:t>
            </w:r>
          </w:p>
        </w:tc>
        <w:tc>
          <w:tcPr>
            <w:tcW w:w="1336" w:type="dxa"/>
            <w:vAlign w:val="bottom"/>
          </w:tcPr>
          <w:p w14:paraId="2AA99838" w14:textId="6D8427C4"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-373436.7</w:t>
            </w:r>
          </w:p>
        </w:tc>
      </w:tr>
      <w:tr w:rsidR="00D246B5" w:rsidRPr="00777D83" w14:paraId="4D0D1C95" w14:textId="4741555D" w:rsidTr="0083577A">
        <w:trPr>
          <w:trHeight w:val="165"/>
        </w:trPr>
        <w:tc>
          <w:tcPr>
            <w:tcW w:w="1228" w:type="dxa"/>
            <w:tcBorders>
              <w:bottom w:val="single" w:sz="4" w:space="0" w:color="auto"/>
            </w:tcBorders>
            <w:tcMar>
              <w:top w:w="60" w:type="dxa"/>
              <w:left w:w="60" w:type="dxa"/>
              <w:bottom w:w="60" w:type="dxa"/>
              <w:right w:w="60" w:type="dxa"/>
            </w:tcMar>
            <w:hideMark/>
          </w:tcPr>
          <w:p w14:paraId="38083735" w14:textId="77777777" w:rsidR="00D246B5" w:rsidRPr="00777D83" w:rsidRDefault="00D246B5" w:rsidP="00D246B5">
            <w:pPr>
              <w:spacing w:line="480" w:lineRule="auto"/>
              <w:rPr>
                <w:rFonts w:ascii="Times New Roman" w:hAnsi="Times New Roman" w:cs="Times New Roman"/>
                <w:lang w:val="en-CA"/>
              </w:rPr>
            </w:pPr>
            <w:r w:rsidRPr="00777D83">
              <w:rPr>
                <w:rFonts w:ascii="Times New Roman" w:hAnsi="Times New Roman" w:cs="Times New Roman"/>
                <w:lang w:val="en-CA"/>
              </w:rPr>
              <w:t>Topsails</w:t>
            </w:r>
          </w:p>
        </w:tc>
        <w:tc>
          <w:tcPr>
            <w:tcW w:w="1891" w:type="dxa"/>
            <w:tcBorders>
              <w:bottom w:val="single" w:sz="4" w:space="0" w:color="auto"/>
            </w:tcBorders>
            <w:tcMar>
              <w:top w:w="60" w:type="dxa"/>
              <w:left w:w="60" w:type="dxa"/>
              <w:bottom w:w="60" w:type="dxa"/>
              <w:right w:w="60" w:type="dxa"/>
            </w:tcMar>
            <w:vAlign w:val="bottom"/>
            <w:hideMark/>
          </w:tcPr>
          <w:p w14:paraId="2E3ABA8E" w14:textId="65713FD8"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3 (2.6, 3.4)</w:t>
            </w:r>
          </w:p>
        </w:tc>
        <w:tc>
          <w:tcPr>
            <w:tcW w:w="792" w:type="dxa"/>
            <w:tcBorders>
              <w:bottom w:val="single" w:sz="4" w:space="0" w:color="auto"/>
            </w:tcBorders>
            <w:tcMar>
              <w:top w:w="60" w:type="dxa"/>
              <w:left w:w="60" w:type="dxa"/>
              <w:bottom w:w="60" w:type="dxa"/>
              <w:right w:w="60" w:type="dxa"/>
            </w:tcMar>
            <w:vAlign w:val="bottom"/>
            <w:hideMark/>
          </w:tcPr>
          <w:p w14:paraId="1E13AC4F" w14:textId="74EA1B5C"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0.8</w:t>
            </w:r>
          </w:p>
        </w:tc>
        <w:tc>
          <w:tcPr>
            <w:tcW w:w="1334" w:type="dxa"/>
            <w:tcBorders>
              <w:bottom w:val="single" w:sz="4" w:space="0" w:color="auto"/>
            </w:tcBorders>
            <w:vAlign w:val="bottom"/>
          </w:tcPr>
          <w:p w14:paraId="14922F14" w14:textId="343A8676"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-89117.399</w:t>
            </w:r>
          </w:p>
        </w:tc>
        <w:tc>
          <w:tcPr>
            <w:tcW w:w="1843" w:type="dxa"/>
            <w:tcBorders>
              <w:bottom w:val="single" w:sz="4" w:space="0" w:color="auto"/>
            </w:tcBorders>
            <w:tcMar>
              <w:top w:w="60" w:type="dxa"/>
              <w:left w:w="60" w:type="dxa"/>
              <w:bottom w:w="60" w:type="dxa"/>
              <w:right w:w="60" w:type="dxa"/>
            </w:tcMar>
            <w:vAlign w:val="bottom"/>
            <w:hideMark/>
          </w:tcPr>
          <w:p w14:paraId="73C61A8D" w14:textId="2A655C90"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0 (-1.4, 0.9)</w:t>
            </w:r>
          </w:p>
        </w:tc>
        <w:tc>
          <w:tcPr>
            <w:tcW w:w="709" w:type="dxa"/>
            <w:tcBorders>
              <w:bottom w:val="single" w:sz="4" w:space="0" w:color="auto"/>
            </w:tcBorders>
            <w:tcMar>
              <w:top w:w="60" w:type="dxa"/>
              <w:left w:w="60" w:type="dxa"/>
              <w:bottom w:w="60" w:type="dxa"/>
              <w:right w:w="60" w:type="dxa"/>
            </w:tcMar>
            <w:vAlign w:val="bottom"/>
            <w:hideMark/>
          </w:tcPr>
          <w:p w14:paraId="11F59AD9" w14:textId="526A5E5E"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2.3</w:t>
            </w:r>
          </w:p>
        </w:tc>
        <w:tc>
          <w:tcPr>
            <w:tcW w:w="1275" w:type="dxa"/>
            <w:tcBorders>
              <w:bottom w:val="single" w:sz="4" w:space="0" w:color="auto"/>
            </w:tcBorders>
            <w:vAlign w:val="bottom"/>
          </w:tcPr>
          <w:p w14:paraId="40E9FA1E" w14:textId="56395039"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-61826.128</w:t>
            </w:r>
          </w:p>
        </w:tc>
        <w:tc>
          <w:tcPr>
            <w:tcW w:w="1843" w:type="dxa"/>
            <w:tcBorders>
              <w:bottom w:val="single" w:sz="4" w:space="0" w:color="auto"/>
            </w:tcBorders>
            <w:tcMar>
              <w:top w:w="60" w:type="dxa"/>
              <w:left w:w="60" w:type="dxa"/>
              <w:bottom w:w="60" w:type="dxa"/>
              <w:right w:w="60" w:type="dxa"/>
            </w:tcMar>
            <w:vAlign w:val="bottom"/>
            <w:hideMark/>
          </w:tcPr>
          <w:p w14:paraId="1642219E" w14:textId="52A0C717"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-69 (NA, -67)</w:t>
            </w:r>
          </w:p>
        </w:tc>
        <w:tc>
          <w:tcPr>
            <w:tcW w:w="709" w:type="dxa"/>
            <w:tcBorders>
              <w:bottom w:val="single" w:sz="4" w:space="0" w:color="auto"/>
            </w:tcBorders>
            <w:tcMar>
              <w:top w:w="60" w:type="dxa"/>
              <w:left w:w="60" w:type="dxa"/>
              <w:bottom w:w="60" w:type="dxa"/>
              <w:right w:w="60" w:type="dxa"/>
            </w:tcMar>
            <w:vAlign w:val="bottom"/>
            <w:hideMark/>
          </w:tcPr>
          <w:p w14:paraId="02107961" w14:textId="6849A101"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NA</w:t>
            </w:r>
          </w:p>
        </w:tc>
        <w:tc>
          <w:tcPr>
            <w:tcW w:w="1336" w:type="dxa"/>
            <w:tcBorders>
              <w:bottom w:val="single" w:sz="4" w:space="0" w:color="auto"/>
            </w:tcBorders>
            <w:vAlign w:val="bottom"/>
          </w:tcPr>
          <w:p w14:paraId="3074B364" w14:textId="3E3CCEBB" w:rsidR="00D246B5" w:rsidRPr="00D246B5" w:rsidRDefault="00D246B5" w:rsidP="00D246B5">
            <w:pPr>
              <w:spacing w:line="480" w:lineRule="auto"/>
              <w:rPr>
                <w:rFonts w:ascii="Times New Roman" w:hAnsi="Times New Roman" w:cs="Times New Roman"/>
                <w:lang w:val="en-CA"/>
              </w:rPr>
            </w:pPr>
            <w:r w:rsidRPr="00D246B5">
              <w:rPr>
                <w:rFonts w:ascii="Times New Roman" w:hAnsi="Times New Roman" w:cs="Times New Roman"/>
                <w:color w:val="000000"/>
              </w:rPr>
              <w:t>-89659.702</w:t>
            </w:r>
          </w:p>
        </w:tc>
      </w:tr>
    </w:tbl>
    <w:p w14:paraId="46FDD572" w14:textId="77777777" w:rsidR="00515AF8" w:rsidRDefault="00777D83" w:rsidP="00777D83">
      <w:pPr>
        <w:spacing w:line="480" w:lineRule="auto"/>
        <w:rPr>
          <w:rFonts w:ascii="Times New Roman" w:hAnsi="Times New Roman" w:cs="Times New Roman"/>
        </w:rPr>
        <w:sectPr w:rsidR="00515AF8" w:rsidSect="00E53520">
          <w:pgSz w:w="15840" w:h="12240" w:orient="landscape"/>
          <w:pgMar w:top="1440" w:right="1440" w:bottom="1440" w:left="1440" w:header="708" w:footer="708" w:gutter="0"/>
          <w:lnNumType w:countBy="1" w:restart="continuous"/>
          <w:cols w:space="708"/>
          <w:docGrid w:linePitch="360"/>
        </w:sectPr>
      </w:pPr>
      <w:r w:rsidRPr="00777D83">
        <w:rPr>
          <w:rFonts w:ascii="Times New Roman" w:hAnsi="Times New Roman" w:cs="Times New Roman"/>
        </w:rPr>
        <w:t xml:space="preserve">*Not </w:t>
      </w:r>
      <w:r>
        <w:rPr>
          <w:rFonts w:ascii="Times New Roman" w:hAnsi="Times New Roman" w:cs="Times New Roman"/>
        </w:rPr>
        <w:t>computed due to insufficient data on adjacent lags</w:t>
      </w:r>
      <w:r w:rsidR="008E5648">
        <w:rPr>
          <w:rFonts w:ascii="Times New Roman" w:hAnsi="Times New Roman" w:cs="Times New Roman"/>
        </w:rPr>
        <w:t>.</w:t>
      </w:r>
      <w:r w:rsidR="00554A45">
        <w:rPr>
          <w:rFonts w:ascii="Times New Roman" w:hAnsi="Times New Roman" w:cs="Times New Roman"/>
        </w:rPr>
        <w:t xml:space="preserve"> This occurred when 1 log-likelihood away from the best model was outside the range with which the data could be interpolated.</w:t>
      </w:r>
      <w:r w:rsidR="008E5648">
        <w:rPr>
          <w:rFonts w:ascii="Times New Roman" w:hAnsi="Times New Roman" w:cs="Times New Roman"/>
        </w:rPr>
        <w:t xml:space="preserve"> See Fig. S2 panels C and F.</w:t>
      </w:r>
    </w:p>
    <w:p w14:paraId="038ED847" w14:textId="768AD442" w:rsidR="00777D83" w:rsidRPr="00777D83" w:rsidRDefault="00777D83" w:rsidP="00777D83">
      <w:pPr>
        <w:spacing w:line="480" w:lineRule="auto"/>
        <w:rPr>
          <w:rFonts w:ascii="Times New Roman" w:hAnsi="Times New Roman" w:cs="Times New Roman"/>
        </w:rPr>
      </w:pPr>
    </w:p>
    <w:p w14:paraId="37D532B1" w14:textId="13787F05" w:rsidR="00937949" w:rsidRDefault="00260705" w:rsidP="00426807">
      <w:pPr>
        <w:spacing w:line="480" w:lineRule="auto"/>
        <w:rPr>
          <w:rFonts w:ascii="Times New Roman" w:hAnsi="Times New Roman" w:cs="Times New Roman"/>
        </w:rPr>
      </w:pPr>
      <w:r>
        <w:rPr>
          <w:rFonts w:ascii="Times New Roman" w:hAnsi="Times New Roman" w:cs="Times New Roman"/>
          <w:noProof/>
        </w:rPr>
        <w:drawing>
          <wp:inline distT="0" distB="0" distL="0" distR="0" wp14:anchorId="10ADAFEC" wp14:editId="011B635F">
            <wp:extent cx="3048000" cy="718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048000" cy="7188200"/>
                    </a:xfrm>
                    <a:prstGeom prst="rect">
                      <a:avLst/>
                    </a:prstGeom>
                  </pic:spPr>
                </pic:pic>
              </a:graphicData>
            </a:graphic>
          </wp:inline>
        </w:drawing>
      </w:r>
    </w:p>
    <w:p w14:paraId="58C17178" w14:textId="374AB811" w:rsidR="00890055" w:rsidRDefault="00937949" w:rsidP="00DE231D">
      <w:pPr>
        <w:spacing w:line="480" w:lineRule="auto"/>
        <w:rPr>
          <w:rFonts w:ascii="Times New Roman" w:hAnsi="Times New Roman" w:cs="Times New Roman"/>
        </w:rPr>
      </w:pPr>
      <w:r>
        <w:rPr>
          <w:rFonts w:ascii="Times New Roman" w:hAnsi="Times New Roman" w:cs="Times New Roman"/>
        </w:rPr>
        <w:lastRenderedPageBreak/>
        <w:t>Figure S1: Correlations between surfing indices (mean days from snow</w:t>
      </w:r>
      <w:r w:rsidR="000576E6">
        <w:rPr>
          <w:rFonts w:ascii="Times New Roman" w:hAnsi="Times New Roman" w:cs="Times New Roman"/>
        </w:rPr>
        <w:t>melt</w:t>
      </w:r>
      <w:r>
        <w:rPr>
          <w:rFonts w:ascii="Times New Roman" w:hAnsi="Times New Roman" w:cs="Times New Roman"/>
        </w:rPr>
        <w:t xml:space="preserve"> or peak IRG) for caribou (</w:t>
      </w:r>
      <w:r w:rsidRPr="000E0B66">
        <w:rPr>
          <w:rFonts w:ascii="Times New Roman" w:hAnsi="Times New Roman" w:cs="Times New Roman"/>
          <w:i/>
        </w:rPr>
        <w:t>Rangifer tarandus</w:t>
      </w:r>
      <w:r>
        <w:rPr>
          <w:rFonts w:ascii="Times New Roman" w:hAnsi="Times New Roman" w:cs="Times New Roman"/>
        </w:rPr>
        <w:t xml:space="preserve">, </w:t>
      </w:r>
      <w:r w:rsidRPr="00F872B3">
        <w:rPr>
          <w:rFonts w:ascii="Times New Roman" w:hAnsi="Times New Roman" w:cs="Times New Roman"/>
          <w:i/>
          <w:iCs/>
        </w:rPr>
        <w:t>n</w:t>
      </w:r>
      <w:r>
        <w:rPr>
          <w:rFonts w:ascii="Times New Roman" w:hAnsi="Times New Roman" w:cs="Times New Roman"/>
        </w:rPr>
        <w:t xml:space="preserve"> = 94) in Newfoundland, Canada. Panel A is the correlation between snow</w:t>
      </w:r>
      <w:r w:rsidR="000576E6">
        <w:rPr>
          <w:rFonts w:ascii="Times New Roman" w:hAnsi="Times New Roman" w:cs="Times New Roman"/>
        </w:rPr>
        <w:t>melt</w:t>
      </w:r>
      <w:r>
        <w:rPr>
          <w:rFonts w:ascii="Times New Roman" w:hAnsi="Times New Roman" w:cs="Times New Roman"/>
        </w:rPr>
        <w:t xml:space="preserve"> surfing index and peak IRG (“green wave”) surfing index (both during migration), B) is the correlation between snow</w:t>
      </w:r>
      <w:r w:rsidR="000576E6">
        <w:rPr>
          <w:rFonts w:ascii="Times New Roman" w:hAnsi="Times New Roman" w:cs="Times New Roman"/>
        </w:rPr>
        <w:t>melt</w:t>
      </w:r>
      <w:r>
        <w:rPr>
          <w:rFonts w:ascii="Times New Roman" w:hAnsi="Times New Roman" w:cs="Times New Roman"/>
        </w:rPr>
        <w:t xml:space="preserve"> index during migration and peak IRG during calving, and C) is the correlation between peak IRG indices across the two seasons. Different herds are represented by different symbol types.</w:t>
      </w:r>
      <w:r w:rsidR="00890055">
        <w:rPr>
          <w:rFonts w:ascii="Times New Roman" w:hAnsi="Times New Roman" w:cs="Times New Roman"/>
        </w:rPr>
        <w:br w:type="page"/>
      </w:r>
    </w:p>
    <w:p w14:paraId="26C93AC3" w14:textId="364D9757" w:rsidR="00937949" w:rsidRDefault="00577B62" w:rsidP="00426807">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59B3A425" wp14:editId="4E6B5D40">
            <wp:extent cx="5943600" cy="525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5251450"/>
                    </a:xfrm>
                    <a:prstGeom prst="rect">
                      <a:avLst/>
                    </a:prstGeom>
                  </pic:spPr>
                </pic:pic>
              </a:graphicData>
            </a:graphic>
          </wp:inline>
        </w:drawing>
      </w:r>
    </w:p>
    <w:p w14:paraId="4D807BF9" w14:textId="4298B7AA" w:rsidR="00DE231D" w:rsidRDefault="00DE231D" w:rsidP="00DE231D">
      <w:pPr>
        <w:spacing w:line="480" w:lineRule="auto"/>
        <w:rPr>
          <w:rFonts w:ascii="Times New Roman" w:hAnsi="Times New Roman" w:cs="Times New Roman"/>
        </w:rPr>
      </w:pPr>
      <w:r>
        <w:rPr>
          <w:rFonts w:ascii="Times New Roman" w:hAnsi="Times New Roman" w:cs="Times New Roman"/>
        </w:rPr>
        <w:t xml:space="preserve">Figure S2: Delta </w:t>
      </w:r>
      <w:r w:rsidR="00222DAF">
        <w:rPr>
          <w:rFonts w:ascii="Times New Roman" w:hAnsi="Times New Roman" w:cs="Times New Roman"/>
        </w:rPr>
        <w:t>log-likelihood</w:t>
      </w:r>
      <w:r>
        <w:rPr>
          <w:rFonts w:ascii="Times New Roman" w:hAnsi="Times New Roman" w:cs="Times New Roman"/>
        </w:rPr>
        <w:t xml:space="preserve"> of models predicting caribou (</w:t>
      </w:r>
      <w:r w:rsidRPr="000E0B66">
        <w:rPr>
          <w:rFonts w:ascii="Times New Roman" w:hAnsi="Times New Roman" w:cs="Times New Roman"/>
          <w:i/>
        </w:rPr>
        <w:t>Rangifer tarandus</w:t>
      </w:r>
      <w:r>
        <w:rPr>
          <w:rFonts w:ascii="Times New Roman" w:hAnsi="Times New Roman" w:cs="Times New Roman"/>
        </w:rPr>
        <w:t xml:space="preserve">, </w:t>
      </w:r>
      <w:r w:rsidRPr="00F872B3">
        <w:rPr>
          <w:rFonts w:ascii="Times New Roman" w:hAnsi="Times New Roman" w:cs="Times New Roman"/>
          <w:i/>
          <w:iCs/>
        </w:rPr>
        <w:t xml:space="preserve">n </w:t>
      </w:r>
      <w:r>
        <w:rPr>
          <w:rFonts w:ascii="Times New Roman" w:hAnsi="Times New Roman" w:cs="Times New Roman"/>
        </w:rPr>
        <w:t>= 94) selection behaviour for days from peak instantaneous rate of green-up during migration (</w:t>
      </w:r>
      <w:r w:rsidRPr="00F365E3">
        <w:rPr>
          <w:rFonts w:ascii="Times New Roman" w:hAnsi="Times New Roman" w:cs="Times New Roman"/>
          <w:i/>
          <w:iCs/>
        </w:rPr>
        <w:t>n</w:t>
      </w:r>
      <w:r>
        <w:rPr>
          <w:rFonts w:ascii="Times New Roman" w:hAnsi="Times New Roman" w:cs="Times New Roman"/>
        </w:rPr>
        <w:t xml:space="preserve"> = 216). We generated models using the absolute value of days to peak IRG across several lags. Lagged datasets were constructed by adding or subtracting the value of the lag to the number of days to peak IRG. This was done to allow us to test for model fit at the focal day of the lag. Panel A) is data for individuals from all herds, B</w:t>
      </w:r>
      <w:r>
        <w:rPr>
          <w:rFonts w:ascii="Times New Roman" w:hAnsi="Times New Roman" w:cs="Times New Roman"/>
        </w:rPr>
        <w:softHyphen/>
        <w:t xml:space="preserve">–F represent data from individual herds: B) </w:t>
      </w:r>
      <w:proofErr w:type="spellStart"/>
      <w:r>
        <w:rPr>
          <w:rFonts w:ascii="Times New Roman" w:hAnsi="Times New Roman" w:cs="Times New Roman"/>
        </w:rPr>
        <w:t>Buchans</w:t>
      </w:r>
      <w:proofErr w:type="spellEnd"/>
      <w:r>
        <w:rPr>
          <w:rFonts w:ascii="Times New Roman" w:hAnsi="Times New Roman" w:cs="Times New Roman"/>
        </w:rPr>
        <w:t xml:space="preserve">; C) Grey River; D) </w:t>
      </w:r>
      <w:proofErr w:type="spellStart"/>
      <w:r>
        <w:rPr>
          <w:rFonts w:ascii="Times New Roman" w:hAnsi="Times New Roman" w:cs="Times New Roman"/>
        </w:rPr>
        <w:t>Lapoile</w:t>
      </w:r>
      <w:proofErr w:type="spellEnd"/>
      <w:r>
        <w:rPr>
          <w:rFonts w:ascii="Times New Roman" w:hAnsi="Times New Roman" w:cs="Times New Roman"/>
        </w:rPr>
        <w:t xml:space="preserve">; E) Middle Ridge; and F) Topsails. These results are shown to </w:t>
      </w:r>
      <w:r>
        <w:rPr>
          <w:rFonts w:ascii="Times New Roman" w:hAnsi="Times New Roman" w:cs="Times New Roman"/>
        </w:rPr>
        <w:lastRenderedPageBreak/>
        <w:t>contrast with models for snow</w:t>
      </w:r>
      <w:r w:rsidR="000576E6">
        <w:rPr>
          <w:rFonts w:ascii="Times New Roman" w:hAnsi="Times New Roman" w:cs="Times New Roman"/>
        </w:rPr>
        <w:t>melt</w:t>
      </w:r>
      <w:r>
        <w:rPr>
          <w:rFonts w:ascii="Times New Roman" w:hAnsi="Times New Roman" w:cs="Times New Roman"/>
        </w:rPr>
        <w:t>, and outline that model fit for tracking green-up during migration in this population results in poor fitting models.</w:t>
      </w:r>
      <w:r>
        <w:rPr>
          <w:rFonts w:ascii="Times New Roman" w:hAnsi="Times New Roman" w:cs="Times New Roman"/>
        </w:rPr>
        <w:br w:type="page"/>
      </w:r>
    </w:p>
    <w:p w14:paraId="55D26E19" w14:textId="21C22CD6" w:rsidR="00DE231D" w:rsidRDefault="00577B62" w:rsidP="00DE231D">
      <w:pPr>
        <w:spacing w:line="480" w:lineRule="auto"/>
        <w:rPr>
          <w:rFonts w:ascii="Times New Roman" w:hAnsi="Times New Roman" w:cs="Times New Roman"/>
        </w:rPr>
      </w:pPr>
      <w:r>
        <w:rPr>
          <w:rFonts w:ascii="Times New Roman" w:hAnsi="Times New Roman" w:cs="Times New Roman"/>
          <w:noProof/>
        </w:rPr>
        <w:lastRenderedPageBreak/>
        <w:drawing>
          <wp:inline distT="0" distB="0" distL="0" distR="0" wp14:anchorId="313ED740" wp14:editId="7E26DD4E">
            <wp:extent cx="5943600" cy="5251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943600" cy="5251450"/>
                    </a:xfrm>
                    <a:prstGeom prst="rect">
                      <a:avLst/>
                    </a:prstGeom>
                  </pic:spPr>
                </pic:pic>
              </a:graphicData>
            </a:graphic>
          </wp:inline>
        </w:drawing>
      </w:r>
    </w:p>
    <w:p w14:paraId="4083E3B6" w14:textId="1F2C9F26" w:rsidR="00947E31" w:rsidRPr="00DE231D" w:rsidRDefault="00DE231D" w:rsidP="00DE231D">
      <w:pPr>
        <w:spacing w:line="480" w:lineRule="auto"/>
        <w:rPr>
          <w:rFonts w:ascii="Times New Roman" w:hAnsi="Times New Roman" w:cs="Times New Roman"/>
        </w:rPr>
      </w:pPr>
      <w:r>
        <w:rPr>
          <w:rFonts w:ascii="Times New Roman" w:hAnsi="Times New Roman" w:cs="Times New Roman"/>
        </w:rPr>
        <w:t>Figure S3: Model-predicted selection of caribou (</w:t>
      </w:r>
      <w:r w:rsidRPr="000E0B66">
        <w:rPr>
          <w:rFonts w:ascii="Times New Roman" w:hAnsi="Times New Roman" w:cs="Times New Roman"/>
          <w:i/>
        </w:rPr>
        <w:t>Rangifer tarandus</w:t>
      </w:r>
      <w:r>
        <w:rPr>
          <w:rFonts w:ascii="Times New Roman" w:hAnsi="Times New Roman" w:cs="Times New Roman"/>
        </w:rPr>
        <w:t xml:space="preserve">, </w:t>
      </w:r>
      <w:r w:rsidRPr="00F872B3">
        <w:rPr>
          <w:rFonts w:ascii="Times New Roman" w:hAnsi="Times New Roman" w:cs="Times New Roman"/>
          <w:i/>
          <w:iCs/>
        </w:rPr>
        <w:t>n</w:t>
      </w:r>
      <w:r>
        <w:rPr>
          <w:rFonts w:ascii="Times New Roman" w:hAnsi="Times New Roman" w:cs="Times New Roman"/>
        </w:rPr>
        <w:t xml:space="preserve"> = 94) as a function of the number of days from peak IRG during migration from conditional logistic regression models.  Dashed lines represent 95% confidence intervals. Panel A) is data for individuals from all herds, B</w:t>
      </w:r>
      <w:r>
        <w:rPr>
          <w:rFonts w:ascii="Times New Roman" w:hAnsi="Times New Roman" w:cs="Times New Roman"/>
        </w:rPr>
        <w:softHyphen/>
        <w:t xml:space="preserve">–F represent data from individual herds: B) </w:t>
      </w:r>
      <w:proofErr w:type="spellStart"/>
      <w:r>
        <w:rPr>
          <w:rFonts w:ascii="Times New Roman" w:hAnsi="Times New Roman" w:cs="Times New Roman"/>
        </w:rPr>
        <w:t>Buchans</w:t>
      </w:r>
      <w:proofErr w:type="spellEnd"/>
      <w:r>
        <w:rPr>
          <w:rFonts w:ascii="Times New Roman" w:hAnsi="Times New Roman" w:cs="Times New Roman"/>
        </w:rPr>
        <w:t xml:space="preserve">; C) Grey River; D) </w:t>
      </w:r>
      <w:proofErr w:type="spellStart"/>
      <w:r>
        <w:rPr>
          <w:rFonts w:ascii="Times New Roman" w:hAnsi="Times New Roman" w:cs="Times New Roman"/>
        </w:rPr>
        <w:t>Lapoile</w:t>
      </w:r>
      <w:proofErr w:type="spellEnd"/>
      <w:r>
        <w:rPr>
          <w:rFonts w:ascii="Times New Roman" w:hAnsi="Times New Roman" w:cs="Times New Roman"/>
        </w:rPr>
        <w:t>; E) Middle Ridge; and F) Topsails. These results contrast with models for snow</w:t>
      </w:r>
      <w:r w:rsidR="000576E6">
        <w:rPr>
          <w:rFonts w:ascii="Times New Roman" w:hAnsi="Times New Roman" w:cs="Times New Roman"/>
        </w:rPr>
        <w:t>melt</w:t>
      </w:r>
      <w:r>
        <w:rPr>
          <w:rFonts w:ascii="Times New Roman" w:hAnsi="Times New Roman" w:cs="Times New Roman"/>
        </w:rPr>
        <w:t>, and outline that model fit for tracking green-up during migration in this population result in poor fitting models.</w:t>
      </w:r>
    </w:p>
    <w:sectPr w:rsidR="00947E31" w:rsidRPr="00DE231D" w:rsidSect="00515AF8">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6DB3C" w14:textId="77777777" w:rsidR="00E465FE" w:rsidRDefault="00E465FE" w:rsidP="00DE231D">
      <w:r>
        <w:separator/>
      </w:r>
    </w:p>
  </w:endnote>
  <w:endnote w:type="continuationSeparator" w:id="0">
    <w:p w14:paraId="1E7F7253" w14:textId="77777777" w:rsidR="00E465FE" w:rsidRDefault="00E465FE" w:rsidP="00DE23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24C612" w14:textId="77777777" w:rsidR="00E465FE" w:rsidRDefault="00E465FE" w:rsidP="00DE231D">
      <w:r>
        <w:separator/>
      </w:r>
    </w:p>
  </w:footnote>
  <w:footnote w:type="continuationSeparator" w:id="0">
    <w:p w14:paraId="0F7AC7C2" w14:textId="77777777" w:rsidR="00E465FE" w:rsidRDefault="00E465FE" w:rsidP="00DE23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76788041"/>
      <w:docPartObj>
        <w:docPartGallery w:val="Page Numbers (Top of Page)"/>
        <w:docPartUnique/>
      </w:docPartObj>
    </w:sdtPr>
    <w:sdtEndPr>
      <w:rPr>
        <w:rStyle w:val="PageNumber"/>
      </w:rPr>
    </w:sdtEndPr>
    <w:sdtContent>
      <w:p w14:paraId="4AB7742E" w14:textId="043623A9" w:rsidR="00DE231D" w:rsidRDefault="00DE231D" w:rsidP="003466F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FFC1B8" w14:textId="77777777" w:rsidR="00DE231D" w:rsidRDefault="00DE231D" w:rsidP="00DE231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36763149"/>
      <w:docPartObj>
        <w:docPartGallery w:val="Page Numbers (Top of Page)"/>
        <w:docPartUnique/>
      </w:docPartObj>
    </w:sdtPr>
    <w:sdtEndPr>
      <w:rPr>
        <w:rStyle w:val="PageNumber"/>
      </w:rPr>
    </w:sdtEndPr>
    <w:sdtContent>
      <w:p w14:paraId="63AD2B70" w14:textId="7E0770E7" w:rsidR="00DE231D" w:rsidRDefault="00DE231D" w:rsidP="003466F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DDDDE7D" w14:textId="77777777" w:rsidR="00DE231D" w:rsidRDefault="00DE231D" w:rsidP="00DE231D">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647960"/>
    <w:multiLevelType w:val="hybridMultilevel"/>
    <w:tmpl w:val="92C07DDE"/>
    <w:lvl w:ilvl="0" w:tplc="BDD41B6E">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807"/>
    <w:rsid w:val="000441A8"/>
    <w:rsid w:val="000576E6"/>
    <w:rsid w:val="001C5E6E"/>
    <w:rsid w:val="00222DAF"/>
    <w:rsid w:val="00260705"/>
    <w:rsid w:val="002668D6"/>
    <w:rsid w:val="00334358"/>
    <w:rsid w:val="00361E7C"/>
    <w:rsid w:val="003E4A29"/>
    <w:rsid w:val="00401226"/>
    <w:rsid w:val="004146BB"/>
    <w:rsid w:val="00414EA2"/>
    <w:rsid w:val="00426807"/>
    <w:rsid w:val="00434C06"/>
    <w:rsid w:val="00457C64"/>
    <w:rsid w:val="0046652A"/>
    <w:rsid w:val="004A616D"/>
    <w:rsid w:val="004F52F3"/>
    <w:rsid w:val="005015BF"/>
    <w:rsid w:val="00515AF8"/>
    <w:rsid w:val="005210A6"/>
    <w:rsid w:val="00554A45"/>
    <w:rsid w:val="00577B62"/>
    <w:rsid w:val="005861F9"/>
    <w:rsid w:val="005A7A65"/>
    <w:rsid w:val="005D28D7"/>
    <w:rsid w:val="005D6852"/>
    <w:rsid w:val="006647FF"/>
    <w:rsid w:val="00747DF5"/>
    <w:rsid w:val="007627E7"/>
    <w:rsid w:val="00777D83"/>
    <w:rsid w:val="008471EB"/>
    <w:rsid w:val="00890055"/>
    <w:rsid w:val="008C3CFC"/>
    <w:rsid w:val="008C70E0"/>
    <w:rsid w:val="008D7187"/>
    <w:rsid w:val="008E5648"/>
    <w:rsid w:val="00937949"/>
    <w:rsid w:val="009708F6"/>
    <w:rsid w:val="00A15FE8"/>
    <w:rsid w:val="00A9508E"/>
    <w:rsid w:val="00B66F24"/>
    <w:rsid w:val="00BE206D"/>
    <w:rsid w:val="00C00C26"/>
    <w:rsid w:val="00C4257B"/>
    <w:rsid w:val="00CE0CE5"/>
    <w:rsid w:val="00D14619"/>
    <w:rsid w:val="00D16303"/>
    <w:rsid w:val="00D246B5"/>
    <w:rsid w:val="00D644AD"/>
    <w:rsid w:val="00DE231D"/>
    <w:rsid w:val="00DE5B48"/>
    <w:rsid w:val="00E0394B"/>
    <w:rsid w:val="00E465FE"/>
    <w:rsid w:val="00E53520"/>
    <w:rsid w:val="00E661AC"/>
    <w:rsid w:val="00F53795"/>
    <w:rsid w:val="00FD6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FCFC9"/>
  <w15:chartTrackingRefBased/>
  <w15:docId w15:val="{9B69E38A-3C04-EF4C-8974-B31E2D46E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268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26807"/>
  </w:style>
  <w:style w:type="paragraph" w:styleId="BalloonText">
    <w:name w:val="Balloon Text"/>
    <w:basedOn w:val="Normal"/>
    <w:link w:val="BalloonTextChar"/>
    <w:uiPriority w:val="99"/>
    <w:semiHidden/>
    <w:unhideWhenUsed/>
    <w:rsid w:val="0042680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6807"/>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26807"/>
    <w:rPr>
      <w:sz w:val="16"/>
      <w:szCs w:val="16"/>
    </w:rPr>
  </w:style>
  <w:style w:type="paragraph" w:styleId="CommentText">
    <w:name w:val="annotation text"/>
    <w:basedOn w:val="Normal"/>
    <w:link w:val="CommentTextChar"/>
    <w:uiPriority w:val="99"/>
    <w:unhideWhenUsed/>
    <w:rsid w:val="00426807"/>
    <w:pPr>
      <w:spacing w:after="160"/>
    </w:pPr>
    <w:rPr>
      <w:sz w:val="20"/>
      <w:szCs w:val="20"/>
      <w:lang w:val="en-CA"/>
    </w:rPr>
  </w:style>
  <w:style w:type="character" w:customStyle="1" w:styleId="CommentTextChar">
    <w:name w:val="Comment Text Char"/>
    <w:basedOn w:val="DefaultParagraphFont"/>
    <w:link w:val="CommentText"/>
    <w:uiPriority w:val="99"/>
    <w:rsid w:val="00426807"/>
    <w:rPr>
      <w:sz w:val="20"/>
      <w:szCs w:val="20"/>
      <w:lang w:val="en-CA"/>
    </w:rPr>
  </w:style>
  <w:style w:type="table" w:styleId="TableGrid">
    <w:name w:val="Table Grid"/>
    <w:basedOn w:val="TableNormal"/>
    <w:uiPriority w:val="39"/>
    <w:rsid w:val="00426807"/>
    <w:rPr>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7D83"/>
    <w:pPr>
      <w:ind w:left="720"/>
      <w:contextualSpacing/>
    </w:pPr>
  </w:style>
  <w:style w:type="character" w:styleId="PlaceholderText">
    <w:name w:val="Placeholder Text"/>
    <w:basedOn w:val="DefaultParagraphFont"/>
    <w:uiPriority w:val="99"/>
    <w:semiHidden/>
    <w:rsid w:val="00BE206D"/>
    <w:rPr>
      <w:color w:val="808080"/>
    </w:rPr>
  </w:style>
  <w:style w:type="paragraph" w:styleId="Header">
    <w:name w:val="header"/>
    <w:basedOn w:val="Normal"/>
    <w:link w:val="HeaderChar"/>
    <w:uiPriority w:val="99"/>
    <w:unhideWhenUsed/>
    <w:rsid w:val="00DE231D"/>
    <w:pPr>
      <w:tabs>
        <w:tab w:val="center" w:pos="4680"/>
        <w:tab w:val="right" w:pos="9360"/>
      </w:tabs>
    </w:pPr>
  </w:style>
  <w:style w:type="character" w:customStyle="1" w:styleId="HeaderChar">
    <w:name w:val="Header Char"/>
    <w:basedOn w:val="DefaultParagraphFont"/>
    <w:link w:val="Header"/>
    <w:uiPriority w:val="99"/>
    <w:rsid w:val="00DE231D"/>
  </w:style>
  <w:style w:type="character" w:styleId="PageNumber">
    <w:name w:val="page number"/>
    <w:basedOn w:val="DefaultParagraphFont"/>
    <w:uiPriority w:val="99"/>
    <w:semiHidden/>
    <w:unhideWhenUsed/>
    <w:rsid w:val="00DE2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242664">
      <w:bodyDiv w:val="1"/>
      <w:marLeft w:val="0"/>
      <w:marRight w:val="0"/>
      <w:marTop w:val="0"/>
      <w:marBottom w:val="0"/>
      <w:divBdr>
        <w:top w:val="none" w:sz="0" w:space="0" w:color="auto"/>
        <w:left w:val="none" w:sz="0" w:space="0" w:color="auto"/>
        <w:bottom w:val="none" w:sz="0" w:space="0" w:color="auto"/>
        <w:right w:val="none" w:sz="0" w:space="0" w:color="auto"/>
      </w:divBdr>
    </w:div>
    <w:div w:id="114014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9</Pages>
  <Words>808</Words>
  <Characters>4704</Characters>
  <Application>Microsoft Office Word</Application>
  <DocSecurity>0</DocSecurity>
  <Lines>63</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Laforge</dc:creator>
  <cp:keywords/>
  <dc:description/>
  <cp:lastModifiedBy>Mike Laforge</cp:lastModifiedBy>
  <cp:revision>31</cp:revision>
  <dcterms:created xsi:type="dcterms:W3CDTF">2020-04-22T04:27:00Z</dcterms:created>
  <dcterms:modified xsi:type="dcterms:W3CDTF">2020-10-27T04:36:00Z</dcterms:modified>
</cp:coreProperties>
</file>