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Country-level: Energy Price -&gt; Defence Spending</w:t>
      </w:r>
    </w:p>
    <w:p>
      <w:pPr>
        <w:pStyle w:val="Normal"/>
      </w:pPr>
      <w:r>
        <w:t xml:space="preserve">log_def_spend ~ log_energy_lag + year (OLS, no clustering)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43"/>
        <w:gridCol w:w="655"/>
        <w:gridCol w:w="2037"/>
        <w:gridCol w:w="961"/>
        <w:gridCol w:w="668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 (SE)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Lithuania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-1.2747 (0.1377)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-1.3899 (0.1805)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-0.6578 (0.0950)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0.5936 (0.1221)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-0.6866 (0.1492)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-0.6630 (0.1588)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-0.3619 (0.1177)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-0.3163 (0.0973)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Cyprus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-0.4070 (0.1603)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-0.3055 (0.1196)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Luxembourg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-1.5859 (0.6556)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-0.2390 (0.1043)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-0.3483 (0.1549)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-0.3023 (0.1476)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-0.4145 (0.2660)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-0.2572 (0.1796)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-0.5388 (0.4236)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0.2707 (0.2207)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-0.7252 (0.6125)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-0.2724 (0.5976)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0.2136 (0.6049)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0.0486 (0.1673)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0.0317 (0.2167)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0.0028 (0.5856)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>* p&lt;0.10  ** p&lt;0.05  *** p&lt;0.01. Year trend included. Each country estimated separately.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2026-04-20T03:30:09Z</dcterms:modified>
  <cp:category/>
</cp:coreProperties>
</file>