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D4069">
      <w:pPr>
        <w:jc w:val="center"/>
      </w:pPr>
      <w:r>
        <w:rPr>
          <w:b/>
          <w:color w:val="1A1A2E"/>
          <w:sz w:val="48"/>
        </w:rPr>
        <w:t>RSA Security Analysi</w:t>
      </w:r>
      <w:r>
        <w:rPr>
          <w:rFonts w:hint="default"/>
          <w:b/>
          <w:color w:val="1A1A2E"/>
          <w:sz w:val="48"/>
          <w:lang w:val="en-US"/>
        </w:rPr>
        <w:t xml:space="preserve">s </w:t>
      </w:r>
      <w:bookmarkStart w:id="0" w:name="_GoBack"/>
      <w:bookmarkEnd w:id="0"/>
      <w:r>
        <w:rPr>
          <w:rFonts w:hint="default"/>
          <w:b/>
          <w:color w:val="1A1A2E"/>
          <w:sz w:val="48"/>
          <w:lang w:val="en-US"/>
        </w:rPr>
        <w:t>Report</w:t>
      </w:r>
    </w:p>
    <w:p w14:paraId="08669AAF">
      <w:pPr>
        <w:jc w:val="center"/>
      </w:pPr>
      <w:r>
        <w:rPr>
          <w:i/>
          <w:color w:val="555577"/>
          <w:sz w:val="22"/>
        </w:rPr>
        <w:t>Task 7 Report  |  Cryptography Assignment</w:t>
      </w:r>
    </w:p>
    <w:p w14:paraId="39D4DBDF"/>
    <w:p w14:paraId="59F77C66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1. Why is RSA Considered Secure?</w:t>
      </w:r>
    </w:p>
    <w:p w14:paraId="1E8E1C98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RSA's security rests on the Integer Factorization Problem (IFP): given a large composite number n = p × q, it is computationally infeasible to recover the two prime factors p and q in polynomial time, even with the most powerful supercomputers available today.</w:t>
      </w:r>
    </w:p>
    <w:p w14:paraId="49E90138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The Mathematics of Security</w:t>
      </w:r>
    </w:p>
    <w:p w14:paraId="16381B06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When RSA keys are generated, two large primes p and q are multiplied to produce n, which is made public. While multiplication is trivially easy (polynomial time), the reverse — factorization — scales exponentially with the size of n.</w:t>
      </w:r>
    </w:p>
    <w:p w14:paraId="56F575B5">
      <w:pPr>
        <w:shd w:val="clear" w:color="auto" w:fill="EFF6FB"/>
        <w:spacing w:after="200" w:line="276" w:lineRule="auto"/>
        <w:ind w:left="567" w:right="567"/>
        <w:jc w:val="left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t xml:space="preserve">    EASY (milliseconds)</w:t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t xml:space="preserve">  p x q  ──────────────────────────►  n</w:t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t xml:space="preserve"> (secret)                          (public)</w:t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t xml:space="preserve">    HARD (billions of years)</w:t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t xml:space="preserve">  n      ──────────────────────────►  p, q</w:t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t xml:space="preserve"> (public)                          (secret)</w:t>
      </w:r>
    </w:p>
    <w:p w14:paraId="17F197A9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The best known classical algorithm for factorization, the General Number Field Sieve (GNFS), runs in sub-exponential time. For a 2048-bit RSA key this equates to approximately 2^112 operations — infeasible for any classical adversary. NIST therefore recommends a minimum key size of 2048 bits through 2030 [1].</w:t>
      </w:r>
    </w:p>
    <w:p w14:paraId="7D801C8A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</w:p>
    <w:p w14:paraId="44CBA0B8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2. Common RSA Attacks</w:t>
      </w:r>
    </w:p>
    <w:p w14:paraId="5CDE4277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Attack 1: Small Exponent Attack (e = 3)</w:t>
      </w:r>
    </w:p>
    <w:p w14:paraId="50271DAB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Overview: Using a small public exponent such as e = 3 drastically speeds up encryption, but creates a devastating vulnerability known as Hastad's Broadcast Attack when the same message M is sent to multiple recipients without proper padding.</w:t>
      </w:r>
    </w:p>
    <w:p w14:paraId="33E791B2">
      <w:pPr>
        <w:keepNext/>
        <w:keepLines/>
        <w:spacing w:before="200" w:after="0" w:line="276" w:lineRule="auto"/>
        <w:jc w:val="both"/>
        <w:outlineLvl w:val="2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 w:eastAsia="en-US" w:bidi="ar-SA"/>
        </w:rPr>
        <w:t>How it Works</w:t>
      </w:r>
    </w:p>
    <w:p w14:paraId="658F3433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Suppose Alice sends the same message M to three recipients, each using e = 3 but different modulo n1, n2, n3.  An eavesdropper intercepts:</w:t>
      </w:r>
    </w:p>
    <w:p w14:paraId="2A1EAB1E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 xml:space="preserve">     C1 = M^3 mod n1,   C2 = M^3 mod n2,   C3 = M^3 mod n3</w:t>
      </w:r>
    </w:p>
    <w:p w14:paraId="563A9E9E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Applying the Chinese Remainder Theorem (CRT), the attacker reconstructs C* ≡ M^3 (mod n1·n2·n3). If M^3 &lt; n1·n2·n3 (common for short messages), the attacker simply computes the integer cube root of C* — no modular reduction — and recovers M entirely [3].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9147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FF3E0"/>
          </w:tcPr>
          <w:p w14:paraId="1DCCAE54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Intercept: C1, C2, C3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CRT reconstruction --&gt; M^3  (integer, no mod reduction)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Integer cube root  --&gt; M   (PLAINTEXT RECOVERED)</w:t>
            </w:r>
          </w:p>
        </w:tc>
      </w:tr>
    </w:tbl>
    <w:p w14:paraId="5157EDFB">
      <w:pPr>
        <w:spacing w:after="200" w:line="276" w:lineRule="auto"/>
        <w:jc w:val="left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1D0F38BF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Mitigation: Always use e = 65537 (a Fermat prime) combined with OAEP padding.</w:t>
      </w:r>
    </w:p>
    <w:p w14:paraId="35E93CDE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Attack 2: Wiener's Attack (Small Private Key d)</w:t>
      </w:r>
    </w:p>
    <w:p w14:paraId="57E3A9F4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Overview: Choosing a small d to speed up decryption is catastrophic. Michael Wiener (1990) proved that if d &lt; (1/3) * n^(1/4), the private key can be recovered in polynomial time [2].</w:t>
      </w:r>
    </w:p>
    <w:p w14:paraId="0FEEBF2A">
      <w:pPr>
        <w:keepNext/>
        <w:keepLines/>
        <w:spacing w:before="200" w:after="0" w:line="276" w:lineRule="auto"/>
        <w:jc w:val="both"/>
        <w:outlineLvl w:val="2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 w:eastAsia="en-US" w:bidi="ar-SA"/>
        </w:rPr>
        <w:t>How it Works</w:t>
      </w:r>
    </w:p>
    <w:p w14:paraId="4B0AB969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From e·d = k·φ(n) + 1, dividing both sides by d·φ(n) yields e/φ(n) ≈ k/d. Since φ(n) ≈ n, the fraction k/d appears as a convergent in the continued fraction expansion of e/n — commutable in polynomial time.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0E84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EDF7ED"/>
          </w:tcPr>
          <w:p w14:paraId="0EF0297D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Public: e, n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Compute continued fraction expansion of e/n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Test each convergent k/d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Verify: phi(n) = (e*d - 1)/k is integer?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20"/>
                <w:szCs w:val="24"/>
                <w:lang w:val="en-US"/>
              </w:rPr>
              <w:t xml:space="preserve">  Factor n via quadratic formula  --&gt;  d RECOVERED</w:t>
            </w:r>
          </w:p>
        </w:tc>
      </w:tr>
    </w:tbl>
    <w:p w14:paraId="798080A3">
      <w:pPr>
        <w:spacing w:after="200" w:line="276" w:lineRule="auto"/>
        <w:jc w:val="left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64B9D584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For a 1024-bit key, Wiener's attack succeeds when d &lt; 2^256 — a massive portion of the key space. Mitigation: Always generate d from a secure random prime pair; never use a deliberately small d.</w:t>
      </w:r>
    </w:p>
    <w:p w14:paraId="523A2827">
      <w:pPr>
        <w:spacing w:after="200" w:line="276" w:lineRule="auto"/>
        <w:jc w:val="left"/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lang w:val="en-US" w:eastAsia="en-US" w:bidi="ar-SA"/>
        </w:rPr>
      </w:pPr>
    </w:p>
    <w:p w14:paraId="1CBFB5B3">
      <w:pPr>
        <w:spacing w:after="200" w:line="276" w:lineRule="auto"/>
        <w:jc w:val="left"/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lang w:val="en-US" w:eastAsia="en-US" w:bidi="ar-SA"/>
        </w:rPr>
      </w:pPr>
    </w:p>
    <w:p w14:paraId="781B5B75">
      <w:pPr>
        <w:spacing w:after="200" w:line="276" w:lineRule="auto"/>
        <w:jc w:val="left"/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lang w:val="en-US" w:eastAsia="en-US" w:bidi="ar-SA"/>
        </w:rPr>
      </w:pPr>
    </w:p>
    <w:p w14:paraId="4F528918">
      <w:pPr>
        <w:spacing w:after="200" w:line="276" w:lineRule="auto"/>
        <w:jc w:val="left"/>
        <w:rPr>
          <w:rFonts w:hint="default" w:ascii="Times New Roman" w:hAnsi="Times New Roman" w:eastAsia="SimSun" w:cs="Times New Roman"/>
          <w:b/>
          <w:bCs/>
          <w:color w:val="auto"/>
          <w:sz w:val="32"/>
          <w:szCs w:val="32"/>
          <w:lang w:val="en-US" w:eastAsia="en-US" w:bidi="ar-SA"/>
        </w:rPr>
      </w:pPr>
    </w:p>
    <w:p w14:paraId="78B831AC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3. Padding Schemes: Why Textbook RSA is Insecure</w:t>
      </w:r>
    </w:p>
    <w:p w14:paraId="6362518F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The Problem with Raw RSA</w:t>
      </w:r>
    </w:p>
    <w:p w14:paraId="5D980363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Raw RSA — computing C = M^e mod n directly — is deterministic and malleable, exposing it to multiple attack classes: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4448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1B6CA8"/>
          </w:tcPr>
          <w:p w14:paraId="2C0E5E2C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Vulnerability</w:t>
            </w:r>
          </w:p>
        </w:tc>
        <w:tc>
          <w:tcPr>
            <w:tcW w:w="4703" w:type="dxa"/>
            <w:shd w:val="clear" w:color="auto" w:fill="1B6CA8"/>
          </w:tcPr>
          <w:p w14:paraId="1397D2FF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Description</w:t>
            </w:r>
          </w:p>
        </w:tc>
      </w:tr>
      <w:tr w14:paraId="28E61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EFF6FB"/>
          </w:tcPr>
          <w:p w14:paraId="36159668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Determinism</w:t>
            </w:r>
          </w:p>
        </w:tc>
        <w:tc>
          <w:tcPr>
            <w:tcW w:w="4703" w:type="dxa"/>
          </w:tcPr>
          <w:p w14:paraId="0B69423F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Same plaintext always produces the same ciphertext — enables dictionary attacks.</w:t>
            </w:r>
          </w:p>
        </w:tc>
      </w:tr>
      <w:tr w14:paraId="408C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EFF6FB"/>
          </w:tcPr>
          <w:p w14:paraId="35A26892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Malleability</w:t>
            </w:r>
          </w:p>
        </w:tc>
        <w:tc>
          <w:tcPr>
            <w:tcW w:w="4703" w:type="dxa"/>
          </w:tcPr>
          <w:p w14:paraId="7BD055DB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Given C = M^e mod n, attacker computes C' = r^e * C mod n which decrypts to r*M.</w:t>
            </w:r>
          </w:p>
        </w:tc>
      </w:tr>
      <w:tr w14:paraId="3A39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EFF6FB"/>
          </w:tcPr>
          <w:p w14:paraId="58CF4FB9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Short Message</w:t>
            </w:r>
          </w:p>
        </w:tc>
        <w:tc>
          <w:tcPr>
            <w:tcW w:w="4703" w:type="dxa"/>
          </w:tcPr>
          <w:p w14:paraId="33D90760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If M is small and e = 3, then M^3 &lt; n and the cube root of C directly reveals M.</w:t>
            </w:r>
          </w:p>
        </w:tc>
      </w:tr>
      <w:tr w14:paraId="0CB3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3" w:type="dxa"/>
            <w:shd w:val="clear" w:color="auto" w:fill="EFF6FB"/>
          </w:tcPr>
          <w:p w14:paraId="6325048E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Chosen Plaintext</w:t>
            </w:r>
          </w:p>
        </w:tc>
        <w:tc>
          <w:tcPr>
            <w:tcW w:w="4703" w:type="dxa"/>
          </w:tcPr>
          <w:p w14:paraId="6CD04A24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Attacker submits crafted ciphertexts for decryption and deduces information about the key.</w:t>
            </w:r>
          </w:p>
        </w:tc>
      </w:tr>
    </w:tbl>
    <w:p w14:paraId="133F5506">
      <w:pPr>
        <w:spacing w:after="200" w:line="276" w:lineRule="auto"/>
        <w:jc w:val="left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1C175D55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PKCS#1 v1.5 Padding</w:t>
      </w:r>
    </w:p>
    <w:p w14:paraId="6DD25BC0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Defined in RFC 8017 [1], PKCS#1 v1.5 padding adds a structured random prefix before encryption:</w:t>
      </w:r>
    </w:p>
    <w:p w14:paraId="7D97AB24">
      <w:pPr>
        <w:shd w:val="clear" w:color="auto" w:fill="F5F5F5"/>
        <w:spacing w:after="200" w:line="276" w:lineRule="auto"/>
        <w:jc w:val="left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0"/>
          <w:szCs w:val="24"/>
          <w:lang w:val="en-US"/>
        </w:rPr>
        <w:t xml:space="preserve">  Block:  0x00 | 0x02 | [&gt;=8 random non-zero bytes] | 0x00 | Message</w:t>
      </w:r>
    </w:p>
    <w:p w14:paraId="600A8BE8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The random bytes provide non-determinism. However, PKCS#1 v1.5 is vulnerable to the Bleichenbacher (1998) padding oracle attack, allowing decryption of any ciphertext by submitting ~1 million crafted queries to a server that reveals padding validity.</w:t>
      </w:r>
    </w:p>
    <w:p w14:paraId="730BE604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OAEP (Optimal Asymmetric Encryption Padding)</w:t>
      </w:r>
    </w:p>
    <w:p w14:paraId="27714620">
      <w:pPr>
        <w:bidi w:val="0"/>
        <w:spacing w:after="40" w:line="240" w:lineRule="auto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/>
        </w:rPr>
        <w:t>OAEP (PKCS#1 v2.x) is the modern, recommended standard. It uses a hash function (SHA-256) and a Mask Generation Function (MGF) to achieve IND-CCA2 security — proven secure by Fujisaki et al. (2001) [3].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6"/>
      </w:tblGrid>
      <w:tr w14:paraId="22BA5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06" w:type="dxa"/>
            <w:shd w:val="clear" w:color="auto" w:fill="F9F0FF"/>
          </w:tcPr>
          <w:p w14:paraId="6C6E4EBB">
            <w:pPr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Message (M)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M || 0...0 (padding)         &lt;- fixed length block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|     +---------------------------------+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|     | Random seed (r)         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v     v                         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XOR with MGF(r)  --&gt; masked_message   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|             +-------------------------+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v      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XOR with MGF(masked_message) --&gt; masked_seed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0x00 || masked_seed || masked_message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|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     v</w:t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color w:val="auto"/>
                <w:sz w:val="18"/>
                <w:szCs w:val="24"/>
                <w:lang w:val="en-US"/>
              </w:rPr>
              <w:t xml:space="preserve">  RSA Encryption (EM^e mod n)  --&gt;  Ciphertext</w:t>
            </w:r>
          </w:p>
        </w:tc>
      </w:tr>
    </w:tbl>
    <w:p w14:paraId="4C89506F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Summary Comparison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6B0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16305F"/>
          </w:tcPr>
          <w:p w14:paraId="02A15C16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2351" w:type="dxa"/>
            <w:shd w:val="clear" w:color="auto" w:fill="16305F"/>
          </w:tcPr>
          <w:p w14:paraId="2E2FA45F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Textbook RSA</w:t>
            </w:r>
          </w:p>
        </w:tc>
        <w:tc>
          <w:tcPr>
            <w:tcW w:w="2351" w:type="dxa"/>
            <w:shd w:val="clear" w:color="auto" w:fill="16305F"/>
          </w:tcPr>
          <w:p w14:paraId="1A57E5C0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PKCS#1 v1.5</w:t>
            </w:r>
          </w:p>
        </w:tc>
        <w:tc>
          <w:tcPr>
            <w:tcW w:w="2351" w:type="dxa"/>
            <w:shd w:val="clear" w:color="auto" w:fill="16305F"/>
          </w:tcPr>
          <w:p w14:paraId="74F17D2E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OAEP</w:t>
            </w:r>
          </w:p>
        </w:tc>
      </w:tr>
      <w:tr w14:paraId="7B74C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EFF6FB"/>
          </w:tcPr>
          <w:p w14:paraId="581688BC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Randomised</w:t>
            </w:r>
          </w:p>
        </w:tc>
        <w:tc>
          <w:tcPr>
            <w:tcW w:w="2351" w:type="dxa"/>
            <w:shd w:val="clear" w:color="auto" w:fill="EFF6FB"/>
          </w:tcPr>
          <w:p w14:paraId="761D27DD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No</w:t>
            </w:r>
          </w:p>
        </w:tc>
        <w:tc>
          <w:tcPr>
            <w:tcW w:w="2351" w:type="dxa"/>
            <w:shd w:val="clear" w:color="auto" w:fill="EFF6FB"/>
          </w:tcPr>
          <w:p w14:paraId="75257EEC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Yes</w:t>
            </w:r>
          </w:p>
        </w:tc>
        <w:tc>
          <w:tcPr>
            <w:tcW w:w="2351" w:type="dxa"/>
            <w:shd w:val="clear" w:color="auto" w:fill="EFF6FB"/>
          </w:tcPr>
          <w:p w14:paraId="1BEF9D00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Yes</w:t>
            </w:r>
          </w:p>
        </w:tc>
      </w:tr>
      <w:tr w14:paraId="1AAD8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FFFFFF"/>
          </w:tcPr>
          <w:p w14:paraId="39059316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Secure against CCA</w:t>
            </w:r>
          </w:p>
        </w:tc>
        <w:tc>
          <w:tcPr>
            <w:tcW w:w="2351" w:type="dxa"/>
            <w:shd w:val="clear" w:color="auto" w:fill="FFFFFF"/>
          </w:tcPr>
          <w:p w14:paraId="6025DBD6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No</w:t>
            </w:r>
          </w:p>
        </w:tc>
        <w:tc>
          <w:tcPr>
            <w:tcW w:w="2351" w:type="dxa"/>
            <w:shd w:val="clear" w:color="auto" w:fill="FFFFFF"/>
          </w:tcPr>
          <w:p w14:paraId="05DE385B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Partially</w:t>
            </w:r>
          </w:p>
        </w:tc>
        <w:tc>
          <w:tcPr>
            <w:tcW w:w="2351" w:type="dxa"/>
            <w:shd w:val="clear" w:color="auto" w:fill="FFFFFF"/>
          </w:tcPr>
          <w:p w14:paraId="413D6DF3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Yes (IND-CCA2)</w:t>
            </w:r>
          </w:p>
        </w:tc>
      </w:tr>
      <w:tr w14:paraId="015B6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EFF6FB"/>
          </w:tcPr>
          <w:p w14:paraId="456ABEC1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Padding Oracle Vulnerable</w:t>
            </w:r>
          </w:p>
        </w:tc>
        <w:tc>
          <w:tcPr>
            <w:tcW w:w="2351" w:type="dxa"/>
            <w:shd w:val="clear" w:color="auto" w:fill="EFF6FB"/>
          </w:tcPr>
          <w:p w14:paraId="45F40251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N/A</w:t>
            </w:r>
          </w:p>
        </w:tc>
        <w:tc>
          <w:tcPr>
            <w:tcW w:w="2351" w:type="dxa"/>
            <w:shd w:val="clear" w:color="auto" w:fill="EFF6FB"/>
          </w:tcPr>
          <w:p w14:paraId="4446D9A9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Yes (Bleichen.)</w:t>
            </w:r>
          </w:p>
        </w:tc>
        <w:tc>
          <w:tcPr>
            <w:tcW w:w="2351" w:type="dxa"/>
            <w:shd w:val="clear" w:color="auto" w:fill="EFF6FB"/>
          </w:tcPr>
          <w:p w14:paraId="7676D9AC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No</w:t>
            </w:r>
          </w:p>
        </w:tc>
      </w:tr>
      <w:tr w14:paraId="0F0BB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  <w:shd w:val="clear" w:color="auto" w:fill="FFFFFF"/>
          </w:tcPr>
          <w:p w14:paraId="6C4B1B39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Recommended for new use</w:t>
            </w:r>
          </w:p>
        </w:tc>
        <w:tc>
          <w:tcPr>
            <w:tcW w:w="2351" w:type="dxa"/>
            <w:shd w:val="clear" w:color="auto" w:fill="FFFFFF"/>
          </w:tcPr>
          <w:p w14:paraId="23EBF609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No</w:t>
            </w:r>
          </w:p>
        </w:tc>
        <w:tc>
          <w:tcPr>
            <w:tcW w:w="2351" w:type="dxa"/>
            <w:shd w:val="clear" w:color="auto" w:fill="FFFFFF"/>
          </w:tcPr>
          <w:p w14:paraId="26BB80B6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  <w:t>No</w:t>
            </w:r>
          </w:p>
        </w:tc>
        <w:tc>
          <w:tcPr>
            <w:tcW w:w="2351" w:type="dxa"/>
            <w:shd w:val="clear" w:color="auto" w:fill="FFFFFF"/>
          </w:tcPr>
          <w:p w14:paraId="069AD350">
            <w:pPr>
              <w:spacing w:after="0" w:line="240" w:lineRule="auto"/>
              <w:jc w:val="center"/>
              <w:rPr>
                <w:rFonts w:hint="default" w:ascii="Times New Roman" w:hAnsi="Times New Roman" w:eastAsia="SimSu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color w:val="auto"/>
                <w:sz w:val="24"/>
                <w:szCs w:val="24"/>
                <w:lang w:val="en-US"/>
              </w:rPr>
              <w:t>YES</w:t>
            </w:r>
          </w:p>
        </w:tc>
      </w:tr>
    </w:tbl>
    <w:p w14:paraId="0BBA9535">
      <w:pPr>
        <w:spacing w:after="200" w:line="276" w:lineRule="auto"/>
        <w:jc w:val="left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08A42948">
      <w:pPr>
        <w:bidi w:val="0"/>
        <w:spacing w:beforeAutospacing="1" w:afterAutospacing="1"/>
        <w:outlineLvl w:val="2"/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7"/>
          <w:szCs w:val="27"/>
          <w:lang w:val="en-US" w:eastAsia="en-US" w:bidi="ar-SA"/>
        </w:rPr>
        <w:t>References</w:t>
      </w:r>
    </w:p>
    <w:p w14:paraId="2CA4FCE2">
      <w:pPr>
        <w:numPr>
          <w:ilvl w:val="0"/>
          <w:numId w:val="4"/>
        </w:numPr>
        <w:bidi w:val="0"/>
        <w:spacing w:after="40" w:line="240" w:lineRule="auto"/>
        <w:ind w:left="360" w:hanging="360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t xml:space="preserve">[1] National Institute of Standards and Technology (NIST), NIST SP 800-131A Rev. 2: Transitioning the Use of Cryptographic Algorithms and Key Lengths, U.S. Dept. of Commerce, 2019. Available: </w: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begin"/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instrText xml:space="preserve"> HYPERLINK "https://doi.org/10.6028/NIST.SP.800-131Ar2" </w:instrTex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separate"/>
      </w:r>
      <w:r>
        <w:rPr>
          <w:rFonts w:hint="default" w:ascii="Times New Roman" w:hAnsi="Times New Roman" w:eastAsia="ＭＳ 明朝" w:cs="Times New Roman"/>
          <w:color w:val="0000FF"/>
          <w:sz w:val="24"/>
          <w:szCs w:val="24"/>
          <w:u w:val="single"/>
          <w:lang w:val="en-US" w:eastAsia="en-US"/>
        </w:rPr>
        <w:t>https://doi.org/10.6028/NIST.SP.800-131Ar2</w: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end"/>
      </w:r>
    </w:p>
    <w:p w14:paraId="52E7E33B">
      <w:pPr>
        <w:numPr>
          <w:ilvl w:val="0"/>
          <w:numId w:val="4"/>
        </w:numPr>
        <w:bidi w:val="0"/>
        <w:spacing w:after="40" w:line="240" w:lineRule="auto"/>
        <w:ind w:left="360" w:hanging="360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t xml:space="preserve">[2] M. J. Wiener, "Cryptanalysis of short RSA secret exponents," IEEE Transactions on Information Theory, vol. 36, no. 3, pp. 553-558, May 1990. Available: </w: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begin"/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instrText xml:space="preserve"> HYPERLINK "https://doi.org/10.1109/18.54902" </w:instrTex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separate"/>
      </w:r>
      <w:r>
        <w:rPr>
          <w:rFonts w:hint="default" w:ascii="Times New Roman" w:hAnsi="Times New Roman" w:eastAsia="ＭＳ 明朝" w:cs="Times New Roman"/>
          <w:color w:val="0000FF"/>
          <w:sz w:val="24"/>
          <w:szCs w:val="24"/>
          <w:u w:val="single"/>
          <w:lang w:val="en-US" w:eastAsia="en-US"/>
        </w:rPr>
        <w:t>https://doi.org/10.1109/18.54902</w: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end"/>
      </w:r>
    </w:p>
    <w:p w14:paraId="2F223080">
      <w:pPr>
        <w:numPr>
          <w:ilvl w:val="0"/>
          <w:numId w:val="4"/>
        </w:numPr>
        <w:bidi w:val="0"/>
        <w:spacing w:after="40" w:line="240" w:lineRule="auto"/>
        <w:ind w:left="360" w:hanging="360"/>
        <w:jc w:val="both"/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</w:pP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t xml:space="preserve">[3] E. Fujisaki, T. Okamoto, D. Pointcheval, and J. Stern, "RSA-OAEP Is Secure under the RSA Assumption," Journal of Cryptology, vol. 17, pp. 81-104, 2004. Available: </w: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begin"/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instrText xml:space="preserve"> HYPERLINK "https://doi.org/10.1007/s00145-002-0204-y" </w:instrTex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separate"/>
      </w:r>
      <w:r>
        <w:rPr>
          <w:rFonts w:hint="default" w:ascii="Times New Roman" w:hAnsi="Times New Roman" w:eastAsia="ＭＳ 明朝" w:cs="Times New Roman"/>
          <w:color w:val="0000FF"/>
          <w:sz w:val="24"/>
          <w:szCs w:val="24"/>
          <w:u w:val="single"/>
          <w:lang w:val="en-US" w:eastAsia="en-US"/>
        </w:rPr>
        <w:t>https://doi.org/10.1007/s00145-002-0204-y</w:t>
      </w:r>
      <w:r>
        <w:rPr>
          <w:rFonts w:hint="default" w:ascii="Times New Roman" w:hAnsi="Times New Roman" w:eastAsia="ＭＳ 明朝" w:cs="Times New Roman"/>
          <w:sz w:val="24"/>
          <w:szCs w:val="24"/>
          <w:lang w:val="en-US" w:eastAsia="en-US"/>
        </w:rPr>
        <w:fldChar w:fldCharType="end"/>
      </w:r>
    </w:p>
    <w:p w14:paraId="635C17CC">
      <w:pPr>
        <w:pStyle w:val="29"/>
        <w:numPr>
          <w:numId w:val="0"/>
        </w:numPr>
        <w:ind w:leftChars="0"/>
      </w:pP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D3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3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6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867</Words>
  <Characters>4485</Characters>
  <Lines>0</Lines>
  <Paragraphs>0</Paragraphs>
  <TotalTime>1</TotalTime>
  <ScaleCrop>false</ScaleCrop>
  <LinksUpToDate>false</LinksUpToDate>
  <CharactersWithSpaces>5643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Muhammed Salah Hussain</cp:lastModifiedBy>
  <dcterms:modified xsi:type="dcterms:W3CDTF">2026-08-12T14:23:58Z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eyJoZGlkIjoiZTk0YTc3ZDMzNzc2MmJkOGNlYjAwMGM0ZmVhYmNhMzEiLCJ1c2VySWQiOiI4ODEzOTg0Mjc0MDU2In0=</vt:lpwstr>
  </property>
  <property fmtid="{D5CDD505-2E9C-101B-9397-08002B2CF9AE}" pid="3" name="KSOProductBuildVer">
    <vt:lpwstr>1033-12.1.0.28032</vt:lpwstr>
  </property>
  <property fmtid="{D5CDD505-2E9C-101B-9397-08002B2CF9AE}" pid="4" name="ICV">
    <vt:lpwstr>4583EA47862A4A78AB3EC1ABB4FE00B3_12</vt:lpwstr>
  </property>
</Properties>
</file>