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F566" w14:textId="77777777" w:rsidR="00ED2EDB" w:rsidRPr="00816769" w:rsidRDefault="00ED2EDB" w:rsidP="00094918">
      <w:pPr>
        <w:spacing w:line="360" w:lineRule="auto"/>
        <w:jc w:val="center"/>
      </w:pPr>
      <w:r w:rsidRPr="00816769">
        <w:rPr>
          <w:noProof/>
        </w:rPr>
        <w:drawing>
          <wp:inline distT="0" distB="0" distL="0" distR="0" wp14:anchorId="6C94FC91" wp14:editId="4EA25CCA">
            <wp:extent cx="2584450" cy="2527300"/>
            <wp:effectExtent l="0" t="0" r="6350" b="6350"/>
            <wp:docPr id="1269317079" name="Picture 4" descr="COMSATS University Islam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SATS University Islamaba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4450" cy="2527300"/>
                    </a:xfrm>
                    <a:prstGeom prst="rect">
                      <a:avLst/>
                    </a:prstGeom>
                    <a:noFill/>
                    <a:ln>
                      <a:noFill/>
                    </a:ln>
                  </pic:spPr>
                </pic:pic>
              </a:graphicData>
            </a:graphic>
          </wp:inline>
        </w:drawing>
      </w:r>
    </w:p>
    <w:p w14:paraId="4C3B7237" w14:textId="69693291" w:rsidR="009D57A7" w:rsidRPr="00DE17C5" w:rsidRDefault="009D57A7" w:rsidP="00094918">
      <w:pPr>
        <w:spacing w:line="360" w:lineRule="auto"/>
        <w:jc w:val="center"/>
        <w:rPr>
          <w:color w:val="215E99" w:themeColor="text2" w:themeTint="BF"/>
          <w:sz w:val="52"/>
          <w:szCs w:val="52"/>
        </w:rPr>
      </w:pPr>
      <w:r w:rsidRPr="00DE17C5">
        <w:rPr>
          <w:color w:val="215E99" w:themeColor="text2" w:themeTint="BF"/>
          <w:sz w:val="52"/>
          <w:szCs w:val="52"/>
        </w:rPr>
        <w:t xml:space="preserve">Comparative Financial Statement Analysis of </w:t>
      </w:r>
      <w:r w:rsidR="00DE17C5" w:rsidRPr="00DE17C5">
        <w:rPr>
          <w:color w:val="215E99" w:themeColor="text2" w:themeTint="BF"/>
          <w:sz w:val="52"/>
          <w:szCs w:val="52"/>
        </w:rPr>
        <w:t>Engro Fertilizers Limited</w:t>
      </w:r>
    </w:p>
    <w:p w14:paraId="72C5FAD5" w14:textId="546F4874" w:rsidR="00ED2EDB" w:rsidRPr="00094918" w:rsidRDefault="007D5EA5" w:rsidP="00094918">
      <w:pPr>
        <w:spacing w:line="360" w:lineRule="auto"/>
        <w:jc w:val="center"/>
        <w:rPr>
          <w:sz w:val="36"/>
          <w:szCs w:val="36"/>
        </w:rPr>
      </w:pPr>
      <w:r>
        <w:rPr>
          <w:sz w:val="40"/>
          <w:szCs w:val="40"/>
        </w:rPr>
        <w:br/>
      </w:r>
      <w:r w:rsidR="00ED2EDB" w:rsidRPr="00094918">
        <w:rPr>
          <w:sz w:val="36"/>
          <w:szCs w:val="36"/>
        </w:rPr>
        <w:t>Names</w:t>
      </w:r>
      <w:r w:rsidRPr="00094918">
        <w:rPr>
          <w:sz w:val="36"/>
          <w:szCs w:val="36"/>
        </w:rPr>
        <w:t xml:space="preserve"> &amp; </w:t>
      </w:r>
      <w:r w:rsidR="00ED2EDB" w:rsidRPr="00094918">
        <w:rPr>
          <w:sz w:val="36"/>
          <w:szCs w:val="36"/>
        </w:rPr>
        <w:t>Registration No</w:t>
      </w:r>
      <w:r w:rsidR="00ED2EDB" w:rsidRPr="00094918">
        <w:rPr>
          <w:sz w:val="36"/>
          <w:szCs w:val="36"/>
        </w:rPr>
        <w:br/>
      </w:r>
    </w:p>
    <w:tbl>
      <w:tblPr>
        <w:tblStyle w:val="PlainTable1"/>
        <w:tblW w:w="0" w:type="auto"/>
        <w:jc w:val="center"/>
        <w:tblCellMar>
          <w:top w:w="28" w:type="dxa"/>
          <w:bottom w:w="28" w:type="dxa"/>
        </w:tblCellMar>
        <w:tblLook w:val="04A0" w:firstRow="1" w:lastRow="0" w:firstColumn="1" w:lastColumn="0" w:noHBand="0" w:noVBand="1"/>
      </w:tblPr>
      <w:tblGrid>
        <w:gridCol w:w="4320"/>
        <w:gridCol w:w="4320"/>
      </w:tblGrid>
      <w:tr w:rsidR="00ED2EDB" w:rsidRPr="00816769" w14:paraId="227FE7B3" w14:textId="77777777" w:rsidTr="007D5EA5">
        <w:trPr>
          <w:cnfStyle w:val="100000000000" w:firstRow="1" w:lastRow="0" w:firstColumn="0" w:lastColumn="0" w:oddVBand="0" w:evenVBand="0" w:oddHBand="0"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6A6A6" w:themeFill="background1" w:themeFillShade="A6"/>
          </w:tcPr>
          <w:p w14:paraId="3034A0BC" w14:textId="77777777" w:rsidR="00ED2EDB" w:rsidRPr="00816769" w:rsidRDefault="00ED2EDB" w:rsidP="00094918">
            <w:pPr>
              <w:spacing w:line="360" w:lineRule="auto"/>
              <w:jc w:val="center"/>
              <w:rPr>
                <w:rFonts w:ascii="Times New Roman" w:hAnsi="Times New Roman" w:cs="Times New Roman"/>
              </w:rPr>
            </w:pPr>
            <w:r w:rsidRPr="00816769">
              <w:rPr>
                <w:rFonts w:ascii="Times New Roman" w:hAnsi="Times New Roman" w:cs="Times New Roman"/>
              </w:rPr>
              <w:t>Name</w:t>
            </w:r>
          </w:p>
        </w:tc>
        <w:tc>
          <w:tcPr>
            <w:tcW w:w="4320" w:type="dxa"/>
            <w:shd w:val="clear" w:color="auto" w:fill="A6A6A6" w:themeFill="background1" w:themeFillShade="A6"/>
          </w:tcPr>
          <w:p w14:paraId="6E0720BD" w14:textId="77777777" w:rsidR="00ED2EDB" w:rsidRPr="00816769" w:rsidRDefault="00ED2EDB" w:rsidP="0009491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6769">
              <w:rPr>
                <w:rFonts w:ascii="Times New Roman" w:hAnsi="Times New Roman" w:cs="Times New Roman"/>
              </w:rPr>
              <w:t>Registration No</w:t>
            </w:r>
          </w:p>
        </w:tc>
      </w:tr>
      <w:tr w:rsidR="00ED2EDB" w:rsidRPr="00816769" w14:paraId="040C5F11" w14:textId="77777777" w:rsidTr="007D5EA5">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4320" w:type="dxa"/>
          </w:tcPr>
          <w:p w14:paraId="1E85801E" w14:textId="77777777" w:rsidR="00ED2EDB" w:rsidRPr="00816769" w:rsidRDefault="00ED2EDB" w:rsidP="00094918">
            <w:pPr>
              <w:spacing w:line="360" w:lineRule="auto"/>
              <w:rPr>
                <w:rFonts w:ascii="Times New Roman" w:hAnsi="Times New Roman" w:cs="Times New Roman"/>
              </w:rPr>
            </w:pPr>
            <w:r w:rsidRPr="00816769">
              <w:rPr>
                <w:rFonts w:ascii="Times New Roman" w:hAnsi="Times New Roman" w:cs="Times New Roman"/>
              </w:rPr>
              <w:t>MUHAMMAD QAIS</w:t>
            </w:r>
          </w:p>
        </w:tc>
        <w:tc>
          <w:tcPr>
            <w:tcW w:w="4320" w:type="dxa"/>
            <w:vAlign w:val="bottom"/>
          </w:tcPr>
          <w:p w14:paraId="0290B214" w14:textId="77777777" w:rsidR="00ED2EDB" w:rsidRPr="00816769" w:rsidRDefault="00ED2EDB" w:rsidP="0009491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6769">
              <w:rPr>
                <w:rFonts w:ascii="Times New Roman" w:hAnsi="Times New Roman" w:cs="Times New Roman"/>
              </w:rPr>
              <w:t>SP25-BBD-104</w:t>
            </w:r>
          </w:p>
        </w:tc>
      </w:tr>
      <w:tr w:rsidR="00A621CE" w:rsidRPr="00816769" w14:paraId="48578539" w14:textId="77777777" w:rsidTr="007D5EA5">
        <w:trPr>
          <w:trHeight w:val="258"/>
          <w:jc w:val="center"/>
        </w:trPr>
        <w:tc>
          <w:tcPr>
            <w:cnfStyle w:val="001000000000" w:firstRow="0" w:lastRow="0" w:firstColumn="1" w:lastColumn="0" w:oddVBand="0" w:evenVBand="0" w:oddHBand="0" w:evenHBand="0" w:firstRowFirstColumn="0" w:firstRowLastColumn="0" w:lastRowFirstColumn="0" w:lastRowLastColumn="0"/>
            <w:tcW w:w="4320" w:type="dxa"/>
          </w:tcPr>
          <w:p w14:paraId="3A4664FA" w14:textId="5130BED3" w:rsidR="00A621CE" w:rsidRPr="00816769" w:rsidRDefault="00A621CE" w:rsidP="00094918">
            <w:pPr>
              <w:spacing w:line="360" w:lineRule="auto"/>
            </w:pPr>
            <w:r w:rsidRPr="00816769">
              <w:rPr>
                <w:rFonts w:ascii="Times New Roman" w:hAnsi="Times New Roman" w:cs="Times New Roman"/>
              </w:rPr>
              <w:t>MUHAMMAD SAAD HABIB</w:t>
            </w:r>
          </w:p>
        </w:tc>
        <w:tc>
          <w:tcPr>
            <w:tcW w:w="4320" w:type="dxa"/>
            <w:vAlign w:val="bottom"/>
          </w:tcPr>
          <w:p w14:paraId="399C9D9E" w14:textId="5615853C" w:rsidR="00A621CE" w:rsidRPr="00816769" w:rsidRDefault="00A621CE" w:rsidP="00094918">
            <w:pPr>
              <w:spacing w:line="360" w:lineRule="auto"/>
              <w:jc w:val="center"/>
              <w:cnfStyle w:val="000000000000" w:firstRow="0" w:lastRow="0" w:firstColumn="0" w:lastColumn="0" w:oddVBand="0" w:evenVBand="0" w:oddHBand="0" w:evenHBand="0" w:firstRowFirstColumn="0" w:firstRowLastColumn="0" w:lastRowFirstColumn="0" w:lastRowLastColumn="0"/>
            </w:pPr>
            <w:r w:rsidRPr="00816769">
              <w:rPr>
                <w:rFonts w:ascii="Times New Roman" w:hAnsi="Times New Roman" w:cs="Times New Roman"/>
              </w:rPr>
              <w:t>SP25-BBD-106</w:t>
            </w:r>
          </w:p>
        </w:tc>
      </w:tr>
      <w:tr w:rsidR="00A621CE" w:rsidRPr="00816769" w14:paraId="55294DE2" w14:textId="77777777" w:rsidTr="007D5EA5">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4320" w:type="dxa"/>
          </w:tcPr>
          <w:p w14:paraId="69A7D2B0" w14:textId="77777777" w:rsidR="00A621CE" w:rsidRPr="00816769" w:rsidRDefault="00A621CE" w:rsidP="00094918">
            <w:pPr>
              <w:spacing w:line="360" w:lineRule="auto"/>
              <w:rPr>
                <w:rFonts w:ascii="Times New Roman" w:hAnsi="Times New Roman" w:cs="Times New Roman"/>
              </w:rPr>
            </w:pPr>
            <w:r w:rsidRPr="00816769">
              <w:rPr>
                <w:rFonts w:ascii="Times New Roman" w:hAnsi="Times New Roman" w:cs="Times New Roman"/>
              </w:rPr>
              <w:t>MUHAMMAD SHAHEER REHAN</w:t>
            </w:r>
          </w:p>
        </w:tc>
        <w:tc>
          <w:tcPr>
            <w:tcW w:w="4320" w:type="dxa"/>
            <w:vAlign w:val="bottom"/>
          </w:tcPr>
          <w:p w14:paraId="664A8DA8" w14:textId="77777777" w:rsidR="00A621CE" w:rsidRPr="00816769" w:rsidRDefault="00A621CE" w:rsidP="0009491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6769">
              <w:rPr>
                <w:rFonts w:ascii="Times New Roman" w:hAnsi="Times New Roman" w:cs="Times New Roman"/>
              </w:rPr>
              <w:t>SP25-BBD-107</w:t>
            </w:r>
          </w:p>
        </w:tc>
      </w:tr>
      <w:tr w:rsidR="00A621CE" w:rsidRPr="00816769" w14:paraId="3B6D48E0" w14:textId="77777777" w:rsidTr="007D5EA5">
        <w:trPr>
          <w:trHeight w:val="258"/>
          <w:jc w:val="center"/>
        </w:trPr>
        <w:tc>
          <w:tcPr>
            <w:cnfStyle w:val="001000000000" w:firstRow="0" w:lastRow="0" w:firstColumn="1" w:lastColumn="0" w:oddVBand="0" w:evenVBand="0" w:oddHBand="0" w:evenHBand="0" w:firstRowFirstColumn="0" w:firstRowLastColumn="0" w:lastRowFirstColumn="0" w:lastRowLastColumn="0"/>
            <w:tcW w:w="4320" w:type="dxa"/>
          </w:tcPr>
          <w:p w14:paraId="2C9DA780" w14:textId="77777777" w:rsidR="00A621CE" w:rsidRPr="00816769" w:rsidRDefault="00A621CE" w:rsidP="00094918">
            <w:pPr>
              <w:spacing w:line="360" w:lineRule="auto"/>
              <w:rPr>
                <w:rFonts w:ascii="Times New Roman" w:hAnsi="Times New Roman" w:cs="Times New Roman"/>
              </w:rPr>
            </w:pPr>
            <w:r w:rsidRPr="00816769">
              <w:rPr>
                <w:rFonts w:ascii="Times New Roman" w:hAnsi="Times New Roman" w:cs="Times New Roman"/>
              </w:rPr>
              <w:t>MUHAMMAD SHAH ZAIB</w:t>
            </w:r>
          </w:p>
        </w:tc>
        <w:tc>
          <w:tcPr>
            <w:tcW w:w="4320" w:type="dxa"/>
            <w:vAlign w:val="bottom"/>
          </w:tcPr>
          <w:p w14:paraId="372FAF85" w14:textId="77777777" w:rsidR="00A621CE" w:rsidRPr="00816769" w:rsidRDefault="00A621CE" w:rsidP="0009491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6769">
              <w:rPr>
                <w:rFonts w:ascii="Times New Roman" w:hAnsi="Times New Roman" w:cs="Times New Roman"/>
              </w:rPr>
              <w:t>SP25-BBD-109</w:t>
            </w:r>
          </w:p>
        </w:tc>
      </w:tr>
      <w:tr w:rsidR="00A621CE" w:rsidRPr="00816769" w14:paraId="3F924977" w14:textId="77777777" w:rsidTr="007D5EA5">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4320" w:type="dxa"/>
          </w:tcPr>
          <w:p w14:paraId="0BFB8C53" w14:textId="77777777" w:rsidR="00A621CE" w:rsidRPr="00816769" w:rsidRDefault="00A621CE" w:rsidP="00094918">
            <w:pPr>
              <w:spacing w:line="360" w:lineRule="auto"/>
              <w:rPr>
                <w:rFonts w:ascii="Times New Roman" w:hAnsi="Times New Roman" w:cs="Times New Roman"/>
              </w:rPr>
            </w:pPr>
            <w:r>
              <w:rPr>
                <w:rFonts w:ascii="Times New Roman" w:hAnsi="Times New Roman" w:cs="Times New Roman"/>
              </w:rPr>
              <w:t>MUHAMMAD TAYYAB</w:t>
            </w:r>
          </w:p>
        </w:tc>
        <w:tc>
          <w:tcPr>
            <w:tcW w:w="4320" w:type="dxa"/>
            <w:vAlign w:val="bottom"/>
          </w:tcPr>
          <w:p w14:paraId="4C42F3DD" w14:textId="77777777" w:rsidR="00A621CE" w:rsidRPr="00816769" w:rsidRDefault="00A621CE" w:rsidP="0009491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6769">
              <w:rPr>
                <w:rFonts w:ascii="Times New Roman" w:hAnsi="Times New Roman" w:cs="Times New Roman"/>
              </w:rPr>
              <w:t>SP25-BBD-</w:t>
            </w:r>
            <w:r>
              <w:rPr>
                <w:rFonts w:ascii="Times New Roman" w:hAnsi="Times New Roman" w:cs="Times New Roman"/>
              </w:rPr>
              <w:t>112</w:t>
            </w:r>
          </w:p>
        </w:tc>
      </w:tr>
    </w:tbl>
    <w:p w14:paraId="58DD726B" w14:textId="15741A5D" w:rsidR="00ED2EDB" w:rsidRPr="00816769" w:rsidRDefault="00ED2EDB" w:rsidP="00094918">
      <w:pPr>
        <w:spacing w:line="360" w:lineRule="auto"/>
      </w:pPr>
    </w:p>
    <w:p w14:paraId="427B57A6" w14:textId="4378F3B8" w:rsidR="00ED2EDB" w:rsidRPr="007D5EA5" w:rsidRDefault="00ED2EDB" w:rsidP="00094918">
      <w:pPr>
        <w:spacing w:line="360" w:lineRule="auto"/>
        <w:rPr>
          <w:sz w:val="28"/>
          <w:szCs w:val="28"/>
        </w:rPr>
      </w:pPr>
      <w:r w:rsidRPr="007D5EA5">
        <w:rPr>
          <w:b/>
          <w:bCs/>
          <w:sz w:val="28"/>
          <w:szCs w:val="28"/>
        </w:rPr>
        <w:t xml:space="preserve">Subject: </w:t>
      </w:r>
      <w:r w:rsidR="00A621CE" w:rsidRPr="007D5EA5">
        <w:rPr>
          <w:b/>
          <w:bCs/>
          <w:sz w:val="28"/>
          <w:szCs w:val="28"/>
        </w:rPr>
        <w:t>Business Finance</w:t>
      </w:r>
    </w:p>
    <w:p w14:paraId="10DE60E9" w14:textId="77777777" w:rsidR="00ED2EDB" w:rsidRPr="007D5EA5" w:rsidRDefault="00ED2EDB" w:rsidP="00094918">
      <w:pPr>
        <w:spacing w:line="360" w:lineRule="auto"/>
        <w:rPr>
          <w:sz w:val="28"/>
          <w:szCs w:val="28"/>
        </w:rPr>
      </w:pPr>
      <w:r w:rsidRPr="007D5EA5">
        <w:rPr>
          <w:b/>
          <w:bCs/>
          <w:sz w:val="28"/>
          <w:szCs w:val="28"/>
        </w:rPr>
        <w:t>Semester: 3</w:t>
      </w:r>
    </w:p>
    <w:p w14:paraId="3E3889CF" w14:textId="77777777" w:rsidR="00ED2EDB" w:rsidRDefault="00ED2EDB" w:rsidP="00094918">
      <w:pPr>
        <w:spacing w:line="360" w:lineRule="auto"/>
        <w:rPr>
          <w:b/>
          <w:bCs/>
          <w:sz w:val="28"/>
          <w:szCs w:val="28"/>
        </w:rPr>
      </w:pPr>
      <w:r w:rsidRPr="007D5EA5">
        <w:rPr>
          <w:b/>
          <w:bCs/>
          <w:sz w:val="28"/>
          <w:szCs w:val="28"/>
        </w:rPr>
        <w:t>Section: C</w:t>
      </w:r>
    </w:p>
    <w:p w14:paraId="03AA5587" w14:textId="213D503C" w:rsidR="00094918" w:rsidRPr="00094918" w:rsidRDefault="00094918" w:rsidP="00094918">
      <w:pPr>
        <w:spacing w:line="360" w:lineRule="auto"/>
        <w:rPr>
          <w:b/>
          <w:bCs/>
          <w:sz w:val="28"/>
          <w:szCs w:val="28"/>
        </w:rPr>
      </w:pPr>
      <w:r>
        <w:rPr>
          <w:b/>
          <w:bCs/>
          <w:sz w:val="28"/>
          <w:szCs w:val="28"/>
        </w:rPr>
        <w:t>Instructor Name: Muhammad Ather Yaqoob</w:t>
      </w:r>
    </w:p>
    <w:p w14:paraId="0748D0F4" w14:textId="3B06A90C" w:rsidR="000B386A" w:rsidRPr="00ED2EDB" w:rsidRDefault="000B386A" w:rsidP="00ED2EDB">
      <w:pPr>
        <w:pStyle w:val="NoSpacing"/>
        <w:spacing w:before="1540" w:after="240"/>
        <w:rPr>
          <w:color w:val="156082" w:themeColor="accent1"/>
        </w:rPr>
      </w:pPr>
    </w:p>
    <w:sdt>
      <w:sdtPr>
        <w:rPr>
          <w:rFonts w:ascii="Times New Roman" w:eastAsia="Times New Roman" w:hAnsi="Times New Roman" w:cs="Times New Roman"/>
          <w:color w:val="auto"/>
          <w:sz w:val="24"/>
          <w:szCs w:val="24"/>
        </w:rPr>
        <w:id w:val="-436145365"/>
        <w:docPartObj>
          <w:docPartGallery w:val="Table of Contents"/>
          <w:docPartUnique/>
        </w:docPartObj>
      </w:sdtPr>
      <w:sdtEndPr>
        <w:rPr>
          <w:b/>
          <w:bCs/>
        </w:rPr>
      </w:sdtEndPr>
      <w:sdtContent>
        <w:p w14:paraId="25E9B572" w14:textId="67CEE58A" w:rsidR="008C3FCB" w:rsidRPr="00AD2536" w:rsidRDefault="008C3FCB" w:rsidP="00AD2536">
          <w:pPr>
            <w:pStyle w:val="TOCHeading"/>
            <w:jc w:val="center"/>
            <w:rPr>
              <w:rFonts w:ascii="Times New Roman" w:hAnsi="Times New Roman" w:cs="Times New Roman"/>
            </w:rPr>
          </w:pPr>
          <w:r w:rsidRPr="00AD2536">
            <w:rPr>
              <w:rFonts w:ascii="Times New Roman" w:hAnsi="Times New Roman" w:cs="Times New Roman"/>
            </w:rPr>
            <w:t>Table of Contents</w:t>
          </w:r>
        </w:p>
        <w:p w14:paraId="362A74D0" w14:textId="449BB0EF" w:rsidR="00C37C72" w:rsidRDefault="008C3FCB">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914479" w:history="1">
            <w:r w:rsidR="00C37C72" w:rsidRPr="00472176">
              <w:rPr>
                <w:rStyle w:val="Hyperlink"/>
                <w:rFonts w:eastAsia="Arial"/>
                <w:b/>
                <w:bCs/>
                <w:noProof/>
              </w:rPr>
              <w:t>Chapter 1: Introduction</w:t>
            </w:r>
            <w:r w:rsidR="00C37C72">
              <w:rPr>
                <w:noProof/>
                <w:webHidden/>
              </w:rPr>
              <w:tab/>
            </w:r>
            <w:r w:rsidR="00C37C72">
              <w:rPr>
                <w:noProof/>
                <w:webHidden/>
              </w:rPr>
              <w:fldChar w:fldCharType="begin"/>
            </w:r>
            <w:r w:rsidR="00C37C72">
              <w:rPr>
                <w:noProof/>
                <w:webHidden/>
              </w:rPr>
              <w:instrText xml:space="preserve"> PAGEREF _Toc229914479 \h </w:instrText>
            </w:r>
            <w:r w:rsidR="00C37C72">
              <w:rPr>
                <w:noProof/>
                <w:webHidden/>
              </w:rPr>
            </w:r>
            <w:r w:rsidR="00C37C72">
              <w:rPr>
                <w:noProof/>
                <w:webHidden/>
              </w:rPr>
              <w:fldChar w:fldCharType="separate"/>
            </w:r>
            <w:r w:rsidR="0061310E">
              <w:rPr>
                <w:noProof/>
                <w:webHidden/>
              </w:rPr>
              <w:t>3</w:t>
            </w:r>
            <w:r w:rsidR="00C37C72">
              <w:rPr>
                <w:noProof/>
                <w:webHidden/>
              </w:rPr>
              <w:fldChar w:fldCharType="end"/>
            </w:r>
          </w:hyperlink>
        </w:p>
        <w:p w14:paraId="15D02595" w14:textId="51B95A66"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0" w:history="1">
            <w:r w:rsidRPr="00472176">
              <w:rPr>
                <w:rStyle w:val="Hyperlink"/>
                <w:rFonts w:eastAsia="Arial"/>
                <w:b/>
                <w:bCs/>
                <w:noProof/>
              </w:rPr>
              <w:t>Company’s overview:</w:t>
            </w:r>
            <w:r>
              <w:rPr>
                <w:noProof/>
                <w:webHidden/>
              </w:rPr>
              <w:tab/>
            </w:r>
            <w:r>
              <w:rPr>
                <w:noProof/>
                <w:webHidden/>
              </w:rPr>
              <w:fldChar w:fldCharType="begin"/>
            </w:r>
            <w:r>
              <w:rPr>
                <w:noProof/>
                <w:webHidden/>
              </w:rPr>
              <w:instrText xml:space="preserve"> PAGEREF _Toc229914480 \h </w:instrText>
            </w:r>
            <w:r>
              <w:rPr>
                <w:noProof/>
                <w:webHidden/>
              </w:rPr>
            </w:r>
            <w:r>
              <w:rPr>
                <w:noProof/>
                <w:webHidden/>
              </w:rPr>
              <w:fldChar w:fldCharType="separate"/>
            </w:r>
            <w:r w:rsidR="0061310E">
              <w:rPr>
                <w:noProof/>
                <w:webHidden/>
              </w:rPr>
              <w:t>3</w:t>
            </w:r>
            <w:r>
              <w:rPr>
                <w:noProof/>
                <w:webHidden/>
              </w:rPr>
              <w:fldChar w:fldCharType="end"/>
            </w:r>
          </w:hyperlink>
        </w:p>
        <w:p w14:paraId="6D3E8CAF" w14:textId="49B7E380"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1" w:history="1">
            <w:r w:rsidRPr="00472176">
              <w:rPr>
                <w:rStyle w:val="Hyperlink"/>
                <w:rFonts w:eastAsia="Arial"/>
                <w:b/>
                <w:bCs/>
                <w:noProof/>
              </w:rPr>
              <w:t>Industry Overview:</w:t>
            </w:r>
            <w:r>
              <w:rPr>
                <w:noProof/>
                <w:webHidden/>
              </w:rPr>
              <w:tab/>
            </w:r>
            <w:r>
              <w:rPr>
                <w:noProof/>
                <w:webHidden/>
              </w:rPr>
              <w:fldChar w:fldCharType="begin"/>
            </w:r>
            <w:r>
              <w:rPr>
                <w:noProof/>
                <w:webHidden/>
              </w:rPr>
              <w:instrText xml:space="preserve"> PAGEREF _Toc229914481 \h </w:instrText>
            </w:r>
            <w:r>
              <w:rPr>
                <w:noProof/>
                <w:webHidden/>
              </w:rPr>
            </w:r>
            <w:r>
              <w:rPr>
                <w:noProof/>
                <w:webHidden/>
              </w:rPr>
              <w:fldChar w:fldCharType="separate"/>
            </w:r>
            <w:r w:rsidR="0061310E">
              <w:rPr>
                <w:noProof/>
                <w:webHidden/>
              </w:rPr>
              <w:t>3</w:t>
            </w:r>
            <w:r>
              <w:rPr>
                <w:noProof/>
                <w:webHidden/>
              </w:rPr>
              <w:fldChar w:fldCharType="end"/>
            </w:r>
          </w:hyperlink>
        </w:p>
        <w:p w14:paraId="13A80153" w14:textId="39047158"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82" w:history="1">
            <w:r w:rsidRPr="00472176">
              <w:rPr>
                <w:rStyle w:val="Hyperlink"/>
                <w:rFonts w:eastAsia="Arial"/>
                <w:b/>
                <w:bCs/>
                <w:noProof/>
              </w:rPr>
              <w:t>Chapter 2: Trend Analysis</w:t>
            </w:r>
            <w:r>
              <w:rPr>
                <w:noProof/>
                <w:webHidden/>
              </w:rPr>
              <w:tab/>
            </w:r>
            <w:r>
              <w:rPr>
                <w:noProof/>
                <w:webHidden/>
              </w:rPr>
              <w:fldChar w:fldCharType="begin"/>
            </w:r>
            <w:r>
              <w:rPr>
                <w:noProof/>
                <w:webHidden/>
              </w:rPr>
              <w:instrText xml:space="preserve"> PAGEREF _Toc229914482 \h </w:instrText>
            </w:r>
            <w:r>
              <w:rPr>
                <w:noProof/>
                <w:webHidden/>
              </w:rPr>
            </w:r>
            <w:r>
              <w:rPr>
                <w:noProof/>
                <w:webHidden/>
              </w:rPr>
              <w:fldChar w:fldCharType="separate"/>
            </w:r>
            <w:r w:rsidR="0061310E">
              <w:rPr>
                <w:noProof/>
                <w:webHidden/>
              </w:rPr>
              <w:t>3</w:t>
            </w:r>
            <w:r>
              <w:rPr>
                <w:noProof/>
                <w:webHidden/>
              </w:rPr>
              <w:fldChar w:fldCharType="end"/>
            </w:r>
          </w:hyperlink>
        </w:p>
        <w:p w14:paraId="2F47886C" w14:textId="2D4B0494"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3" w:history="1">
            <w:r w:rsidRPr="00472176">
              <w:rPr>
                <w:rStyle w:val="Hyperlink"/>
                <w:rFonts w:eastAsia="Arial"/>
                <w:b/>
                <w:bCs/>
                <w:noProof/>
              </w:rPr>
              <w:t>2.1  Introduction</w:t>
            </w:r>
            <w:r>
              <w:rPr>
                <w:noProof/>
                <w:webHidden/>
              </w:rPr>
              <w:tab/>
            </w:r>
            <w:r>
              <w:rPr>
                <w:noProof/>
                <w:webHidden/>
              </w:rPr>
              <w:fldChar w:fldCharType="begin"/>
            </w:r>
            <w:r>
              <w:rPr>
                <w:noProof/>
                <w:webHidden/>
              </w:rPr>
              <w:instrText xml:space="preserve"> PAGEREF _Toc229914483 \h </w:instrText>
            </w:r>
            <w:r>
              <w:rPr>
                <w:noProof/>
                <w:webHidden/>
              </w:rPr>
            </w:r>
            <w:r>
              <w:rPr>
                <w:noProof/>
                <w:webHidden/>
              </w:rPr>
              <w:fldChar w:fldCharType="separate"/>
            </w:r>
            <w:r w:rsidR="0061310E">
              <w:rPr>
                <w:noProof/>
                <w:webHidden/>
              </w:rPr>
              <w:t>3</w:t>
            </w:r>
            <w:r>
              <w:rPr>
                <w:noProof/>
                <w:webHidden/>
              </w:rPr>
              <w:fldChar w:fldCharType="end"/>
            </w:r>
          </w:hyperlink>
        </w:p>
        <w:p w14:paraId="664964B5" w14:textId="149CDF32"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4" w:history="1">
            <w:r w:rsidRPr="00472176">
              <w:rPr>
                <w:rStyle w:val="Hyperlink"/>
                <w:rFonts w:eastAsia="Arial"/>
                <w:b/>
                <w:bCs/>
                <w:noProof/>
              </w:rPr>
              <w:t>2.2  Liquidity Ratios</w:t>
            </w:r>
            <w:r>
              <w:rPr>
                <w:noProof/>
                <w:webHidden/>
              </w:rPr>
              <w:tab/>
            </w:r>
            <w:r>
              <w:rPr>
                <w:noProof/>
                <w:webHidden/>
              </w:rPr>
              <w:fldChar w:fldCharType="begin"/>
            </w:r>
            <w:r>
              <w:rPr>
                <w:noProof/>
                <w:webHidden/>
              </w:rPr>
              <w:instrText xml:space="preserve"> PAGEREF _Toc229914484 \h </w:instrText>
            </w:r>
            <w:r>
              <w:rPr>
                <w:noProof/>
                <w:webHidden/>
              </w:rPr>
            </w:r>
            <w:r>
              <w:rPr>
                <w:noProof/>
                <w:webHidden/>
              </w:rPr>
              <w:fldChar w:fldCharType="separate"/>
            </w:r>
            <w:r w:rsidR="0061310E">
              <w:rPr>
                <w:noProof/>
                <w:webHidden/>
              </w:rPr>
              <w:t>4</w:t>
            </w:r>
            <w:r>
              <w:rPr>
                <w:noProof/>
                <w:webHidden/>
              </w:rPr>
              <w:fldChar w:fldCharType="end"/>
            </w:r>
          </w:hyperlink>
        </w:p>
        <w:p w14:paraId="28A96CEA" w14:textId="51F104DA"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5" w:history="1">
            <w:r w:rsidRPr="00472176">
              <w:rPr>
                <w:rStyle w:val="Hyperlink"/>
                <w:rFonts w:eastAsia="Arial"/>
                <w:b/>
                <w:bCs/>
                <w:noProof/>
              </w:rPr>
              <w:t>2.3  Leverage / Debt Ratios</w:t>
            </w:r>
            <w:r>
              <w:rPr>
                <w:noProof/>
                <w:webHidden/>
              </w:rPr>
              <w:tab/>
            </w:r>
            <w:r>
              <w:rPr>
                <w:noProof/>
                <w:webHidden/>
              </w:rPr>
              <w:fldChar w:fldCharType="begin"/>
            </w:r>
            <w:r>
              <w:rPr>
                <w:noProof/>
                <w:webHidden/>
              </w:rPr>
              <w:instrText xml:space="preserve"> PAGEREF _Toc229914485 \h </w:instrText>
            </w:r>
            <w:r>
              <w:rPr>
                <w:noProof/>
                <w:webHidden/>
              </w:rPr>
            </w:r>
            <w:r>
              <w:rPr>
                <w:noProof/>
                <w:webHidden/>
              </w:rPr>
              <w:fldChar w:fldCharType="separate"/>
            </w:r>
            <w:r w:rsidR="0061310E">
              <w:rPr>
                <w:noProof/>
                <w:webHidden/>
              </w:rPr>
              <w:t>4</w:t>
            </w:r>
            <w:r>
              <w:rPr>
                <w:noProof/>
                <w:webHidden/>
              </w:rPr>
              <w:fldChar w:fldCharType="end"/>
            </w:r>
          </w:hyperlink>
        </w:p>
        <w:p w14:paraId="06C41BD6" w14:textId="007409B4"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6" w:history="1">
            <w:r w:rsidRPr="00472176">
              <w:rPr>
                <w:rStyle w:val="Hyperlink"/>
                <w:rFonts w:eastAsia="Arial"/>
                <w:b/>
                <w:bCs/>
                <w:noProof/>
              </w:rPr>
              <w:t>2.4  Coverage Ratio</w:t>
            </w:r>
            <w:r>
              <w:rPr>
                <w:noProof/>
                <w:webHidden/>
              </w:rPr>
              <w:tab/>
            </w:r>
            <w:r>
              <w:rPr>
                <w:noProof/>
                <w:webHidden/>
              </w:rPr>
              <w:fldChar w:fldCharType="begin"/>
            </w:r>
            <w:r>
              <w:rPr>
                <w:noProof/>
                <w:webHidden/>
              </w:rPr>
              <w:instrText xml:space="preserve"> PAGEREF _Toc229914486 \h </w:instrText>
            </w:r>
            <w:r>
              <w:rPr>
                <w:noProof/>
                <w:webHidden/>
              </w:rPr>
            </w:r>
            <w:r>
              <w:rPr>
                <w:noProof/>
                <w:webHidden/>
              </w:rPr>
              <w:fldChar w:fldCharType="separate"/>
            </w:r>
            <w:r w:rsidR="0061310E">
              <w:rPr>
                <w:noProof/>
                <w:webHidden/>
              </w:rPr>
              <w:t>5</w:t>
            </w:r>
            <w:r>
              <w:rPr>
                <w:noProof/>
                <w:webHidden/>
              </w:rPr>
              <w:fldChar w:fldCharType="end"/>
            </w:r>
          </w:hyperlink>
        </w:p>
        <w:p w14:paraId="5CFD7453" w14:textId="161103A8"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8" w:history="1">
            <w:r w:rsidRPr="00472176">
              <w:rPr>
                <w:rStyle w:val="Hyperlink"/>
                <w:rFonts w:eastAsia="Arial"/>
                <w:b/>
                <w:bCs/>
                <w:noProof/>
              </w:rPr>
              <w:t>2.5  Activity / Efficiency Ratios</w:t>
            </w:r>
            <w:r>
              <w:rPr>
                <w:noProof/>
                <w:webHidden/>
              </w:rPr>
              <w:tab/>
            </w:r>
            <w:r>
              <w:rPr>
                <w:noProof/>
                <w:webHidden/>
              </w:rPr>
              <w:fldChar w:fldCharType="begin"/>
            </w:r>
            <w:r>
              <w:rPr>
                <w:noProof/>
                <w:webHidden/>
              </w:rPr>
              <w:instrText xml:space="preserve"> PAGEREF _Toc229914488 \h </w:instrText>
            </w:r>
            <w:r>
              <w:rPr>
                <w:noProof/>
                <w:webHidden/>
              </w:rPr>
            </w:r>
            <w:r>
              <w:rPr>
                <w:noProof/>
                <w:webHidden/>
              </w:rPr>
              <w:fldChar w:fldCharType="separate"/>
            </w:r>
            <w:r w:rsidR="0061310E">
              <w:rPr>
                <w:noProof/>
                <w:webHidden/>
              </w:rPr>
              <w:t>6</w:t>
            </w:r>
            <w:r>
              <w:rPr>
                <w:noProof/>
                <w:webHidden/>
              </w:rPr>
              <w:fldChar w:fldCharType="end"/>
            </w:r>
          </w:hyperlink>
        </w:p>
        <w:p w14:paraId="02647809" w14:textId="3789BE54"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89" w:history="1">
            <w:r w:rsidRPr="00472176">
              <w:rPr>
                <w:rStyle w:val="Hyperlink"/>
                <w:rFonts w:eastAsia="Arial"/>
                <w:b/>
                <w:bCs/>
                <w:noProof/>
              </w:rPr>
              <w:t>2.6  Profitability Ratios</w:t>
            </w:r>
            <w:r>
              <w:rPr>
                <w:noProof/>
                <w:webHidden/>
              </w:rPr>
              <w:tab/>
            </w:r>
            <w:r>
              <w:rPr>
                <w:noProof/>
                <w:webHidden/>
              </w:rPr>
              <w:fldChar w:fldCharType="begin"/>
            </w:r>
            <w:r>
              <w:rPr>
                <w:noProof/>
                <w:webHidden/>
              </w:rPr>
              <w:instrText xml:space="preserve"> PAGEREF _Toc229914489 \h </w:instrText>
            </w:r>
            <w:r>
              <w:rPr>
                <w:noProof/>
                <w:webHidden/>
              </w:rPr>
            </w:r>
            <w:r>
              <w:rPr>
                <w:noProof/>
                <w:webHidden/>
              </w:rPr>
              <w:fldChar w:fldCharType="separate"/>
            </w:r>
            <w:r w:rsidR="0061310E">
              <w:rPr>
                <w:noProof/>
                <w:webHidden/>
              </w:rPr>
              <w:t>8</w:t>
            </w:r>
            <w:r>
              <w:rPr>
                <w:noProof/>
                <w:webHidden/>
              </w:rPr>
              <w:fldChar w:fldCharType="end"/>
            </w:r>
          </w:hyperlink>
        </w:p>
        <w:p w14:paraId="635DA99D" w14:textId="489DD025"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490" w:history="1">
            <w:r w:rsidRPr="00472176">
              <w:rPr>
                <w:rStyle w:val="Hyperlink"/>
                <w:rFonts w:eastAsia="Arial"/>
                <w:b/>
                <w:bCs/>
                <w:noProof/>
              </w:rPr>
              <w:t>2.7  Chapter Discussion</w:t>
            </w:r>
            <w:r>
              <w:rPr>
                <w:noProof/>
                <w:webHidden/>
              </w:rPr>
              <w:tab/>
            </w:r>
            <w:r>
              <w:rPr>
                <w:noProof/>
                <w:webHidden/>
              </w:rPr>
              <w:fldChar w:fldCharType="begin"/>
            </w:r>
            <w:r>
              <w:rPr>
                <w:noProof/>
                <w:webHidden/>
              </w:rPr>
              <w:instrText xml:space="preserve"> PAGEREF _Toc229914490 \h </w:instrText>
            </w:r>
            <w:r>
              <w:rPr>
                <w:noProof/>
                <w:webHidden/>
              </w:rPr>
            </w:r>
            <w:r>
              <w:rPr>
                <w:noProof/>
                <w:webHidden/>
              </w:rPr>
              <w:fldChar w:fldCharType="separate"/>
            </w:r>
            <w:r w:rsidR="0061310E">
              <w:rPr>
                <w:noProof/>
                <w:webHidden/>
              </w:rPr>
              <w:t>9</w:t>
            </w:r>
            <w:r>
              <w:rPr>
                <w:noProof/>
                <w:webHidden/>
              </w:rPr>
              <w:fldChar w:fldCharType="end"/>
            </w:r>
          </w:hyperlink>
        </w:p>
        <w:p w14:paraId="1B40DCA8" w14:textId="6150E76E"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1" w:history="1">
            <w:r w:rsidRPr="00472176">
              <w:rPr>
                <w:rStyle w:val="Hyperlink"/>
                <w:rFonts w:eastAsia="Arial"/>
                <w:b/>
                <w:bCs/>
                <w:noProof/>
              </w:rPr>
              <w:t>Chapter 3: Common Size Analysis Report</w:t>
            </w:r>
            <w:r>
              <w:rPr>
                <w:noProof/>
                <w:webHidden/>
              </w:rPr>
              <w:tab/>
            </w:r>
            <w:r>
              <w:rPr>
                <w:noProof/>
                <w:webHidden/>
              </w:rPr>
              <w:fldChar w:fldCharType="begin"/>
            </w:r>
            <w:r>
              <w:rPr>
                <w:noProof/>
                <w:webHidden/>
              </w:rPr>
              <w:instrText xml:space="preserve"> PAGEREF _Toc229914491 \h </w:instrText>
            </w:r>
            <w:r>
              <w:rPr>
                <w:noProof/>
                <w:webHidden/>
              </w:rPr>
            </w:r>
            <w:r>
              <w:rPr>
                <w:noProof/>
                <w:webHidden/>
              </w:rPr>
              <w:fldChar w:fldCharType="separate"/>
            </w:r>
            <w:r w:rsidR="0061310E">
              <w:rPr>
                <w:noProof/>
                <w:webHidden/>
              </w:rPr>
              <w:t>9</w:t>
            </w:r>
            <w:r>
              <w:rPr>
                <w:noProof/>
                <w:webHidden/>
              </w:rPr>
              <w:fldChar w:fldCharType="end"/>
            </w:r>
          </w:hyperlink>
        </w:p>
        <w:p w14:paraId="225DE3BD" w14:textId="50169561"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2" w:history="1">
            <w:r w:rsidRPr="00472176">
              <w:rPr>
                <w:rStyle w:val="Hyperlink"/>
                <w:rFonts w:eastAsia="Arial"/>
                <w:b/>
                <w:bCs/>
                <w:noProof/>
              </w:rPr>
              <w:t>Chapter 4: Horizontal (Index) Analysis</w:t>
            </w:r>
            <w:r>
              <w:rPr>
                <w:noProof/>
                <w:webHidden/>
              </w:rPr>
              <w:tab/>
            </w:r>
            <w:r>
              <w:rPr>
                <w:noProof/>
                <w:webHidden/>
              </w:rPr>
              <w:fldChar w:fldCharType="begin"/>
            </w:r>
            <w:r>
              <w:rPr>
                <w:noProof/>
                <w:webHidden/>
              </w:rPr>
              <w:instrText xml:space="preserve"> PAGEREF _Toc229914492 \h </w:instrText>
            </w:r>
            <w:r>
              <w:rPr>
                <w:noProof/>
                <w:webHidden/>
              </w:rPr>
            </w:r>
            <w:r>
              <w:rPr>
                <w:noProof/>
                <w:webHidden/>
              </w:rPr>
              <w:fldChar w:fldCharType="separate"/>
            </w:r>
            <w:r w:rsidR="0061310E">
              <w:rPr>
                <w:noProof/>
                <w:webHidden/>
              </w:rPr>
              <w:t>12</w:t>
            </w:r>
            <w:r>
              <w:rPr>
                <w:noProof/>
                <w:webHidden/>
              </w:rPr>
              <w:fldChar w:fldCharType="end"/>
            </w:r>
          </w:hyperlink>
        </w:p>
        <w:p w14:paraId="06F680D0" w14:textId="3E623A13"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3" w:history="1">
            <w:r w:rsidRPr="00472176">
              <w:rPr>
                <w:rStyle w:val="Hyperlink"/>
                <w:rFonts w:eastAsia="Arial"/>
                <w:b/>
                <w:bCs/>
                <w:noProof/>
              </w:rPr>
              <w:t>Chapter 5: Risk and Return Assessment Report</w:t>
            </w:r>
            <w:r>
              <w:rPr>
                <w:noProof/>
                <w:webHidden/>
              </w:rPr>
              <w:tab/>
            </w:r>
            <w:r>
              <w:rPr>
                <w:noProof/>
                <w:webHidden/>
              </w:rPr>
              <w:fldChar w:fldCharType="begin"/>
            </w:r>
            <w:r>
              <w:rPr>
                <w:noProof/>
                <w:webHidden/>
              </w:rPr>
              <w:instrText xml:space="preserve"> PAGEREF _Toc229914493 \h </w:instrText>
            </w:r>
            <w:r>
              <w:rPr>
                <w:noProof/>
                <w:webHidden/>
              </w:rPr>
            </w:r>
            <w:r>
              <w:rPr>
                <w:noProof/>
                <w:webHidden/>
              </w:rPr>
              <w:fldChar w:fldCharType="separate"/>
            </w:r>
            <w:r w:rsidR="0061310E">
              <w:rPr>
                <w:noProof/>
                <w:webHidden/>
              </w:rPr>
              <w:t>15</w:t>
            </w:r>
            <w:r>
              <w:rPr>
                <w:noProof/>
                <w:webHidden/>
              </w:rPr>
              <w:fldChar w:fldCharType="end"/>
            </w:r>
          </w:hyperlink>
        </w:p>
        <w:p w14:paraId="39B8530D" w14:textId="0A06C107"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4" w:history="1">
            <w:r w:rsidRPr="00472176">
              <w:rPr>
                <w:rStyle w:val="Hyperlink"/>
                <w:rFonts w:eastAsia="Arial"/>
                <w:b/>
                <w:bCs/>
                <w:noProof/>
              </w:rPr>
              <w:t>1. Overview</w:t>
            </w:r>
            <w:r>
              <w:rPr>
                <w:noProof/>
                <w:webHidden/>
              </w:rPr>
              <w:tab/>
            </w:r>
            <w:r>
              <w:rPr>
                <w:noProof/>
                <w:webHidden/>
              </w:rPr>
              <w:fldChar w:fldCharType="begin"/>
            </w:r>
            <w:r>
              <w:rPr>
                <w:noProof/>
                <w:webHidden/>
              </w:rPr>
              <w:instrText xml:space="preserve"> PAGEREF _Toc229914494 \h </w:instrText>
            </w:r>
            <w:r>
              <w:rPr>
                <w:noProof/>
                <w:webHidden/>
              </w:rPr>
            </w:r>
            <w:r>
              <w:rPr>
                <w:noProof/>
                <w:webHidden/>
              </w:rPr>
              <w:fldChar w:fldCharType="separate"/>
            </w:r>
            <w:r w:rsidR="0061310E">
              <w:rPr>
                <w:noProof/>
                <w:webHidden/>
              </w:rPr>
              <w:t>15</w:t>
            </w:r>
            <w:r>
              <w:rPr>
                <w:noProof/>
                <w:webHidden/>
              </w:rPr>
              <w:fldChar w:fldCharType="end"/>
            </w:r>
          </w:hyperlink>
        </w:p>
        <w:p w14:paraId="6F56E8FF" w14:textId="53E3DFA9"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5" w:history="1">
            <w:r w:rsidRPr="00472176">
              <w:rPr>
                <w:rStyle w:val="Hyperlink"/>
                <w:rFonts w:eastAsia="Arial"/>
                <w:b/>
                <w:bCs/>
                <w:noProof/>
              </w:rPr>
              <w:t>2. Performance Metrics Comparison</w:t>
            </w:r>
            <w:r>
              <w:rPr>
                <w:noProof/>
                <w:webHidden/>
              </w:rPr>
              <w:tab/>
            </w:r>
            <w:r>
              <w:rPr>
                <w:noProof/>
                <w:webHidden/>
              </w:rPr>
              <w:fldChar w:fldCharType="begin"/>
            </w:r>
            <w:r>
              <w:rPr>
                <w:noProof/>
                <w:webHidden/>
              </w:rPr>
              <w:instrText xml:space="preserve"> PAGEREF _Toc229914495 \h </w:instrText>
            </w:r>
            <w:r>
              <w:rPr>
                <w:noProof/>
                <w:webHidden/>
              </w:rPr>
            </w:r>
            <w:r>
              <w:rPr>
                <w:noProof/>
                <w:webHidden/>
              </w:rPr>
              <w:fldChar w:fldCharType="separate"/>
            </w:r>
            <w:r w:rsidR="0061310E">
              <w:rPr>
                <w:noProof/>
                <w:webHidden/>
              </w:rPr>
              <w:t>15</w:t>
            </w:r>
            <w:r>
              <w:rPr>
                <w:noProof/>
                <w:webHidden/>
              </w:rPr>
              <w:fldChar w:fldCharType="end"/>
            </w:r>
          </w:hyperlink>
        </w:p>
        <w:p w14:paraId="74355F37" w14:textId="1ED2EC97"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6" w:history="1">
            <w:r w:rsidRPr="00472176">
              <w:rPr>
                <w:rStyle w:val="Hyperlink"/>
                <w:rFonts w:eastAsia="Arial"/>
                <w:b/>
                <w:bCs/>
                <w:noProof/>
              </w:rPr>
              <w:t>3. Risk-Adjusted Return Analysis (CV)</w:t>
            </w:r>
            <w:r>
              <w:rPr>
                <w:noProof/>
                <w:webHidden/>
              </w:rPr>
              <w:tab/>
            </w:r>
            <w:r>
              <w:rPr>
                <w:noProof/>
                <w:webHidden/>
              </w:rPr>
              <w:fldChar w:fldCharType="begin"/>
            </w:r>
            <w:r>
              <w:rPr>
                <w:noProof/>
                <w:webHidden/>
              </w:rPr>
              <w:instrText xml:space="preserve"> PAGEREF _Toc229914496 \h </w:instrText>
            </w:r>
            <w:r>
              <w:rPr>
                <w:noProof/>
                <w:webHidden/>
              </w:rPr>
            </w:r>
            <w:r>
              <w:rPr>
                <w:noProof/>
                <w:webHidden/>
              </w:rPr>
              <w:fldChar w:fldCharType="separate"/>
            </w:r>
            <w:r w:rsidR="0061310E">
              <w:rPr>
                <w:noProof/>
                <w:webHidden/>
              </w:rPr>
              <w:t>15</w:t>
            </w:r>
            <w:r>
              <w:rPr>
                <w:noProof/>
                <w:webHidden/>
              </w:rPr>
              <w:fldChar w:fldCharType="end"/>
            </w:r>
          </w:hyperlink>
        </w:p>
        <w:p w14:paraId="3E92C66E" w14:textId="36FECA60"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7" w:history="1">
            <w:r w:rsidRPr="00472176">
              <w:rPr>
                <w:rStyle w:val="Hyperlink"/>
                <w:rFonts w:eastAsia="Arial"/>
                <w:b/>
                <w:bCs/>
                <w:noProof/>
              </w:rPr>
              <w:t>4. Qualitative Risk Factors</w:t>
            </w:r>
            <w:r>
              <w:rPr>
                <w:noProof/>
                <w:webHidden/>
              </w:rPr>
              <w:tab/>
            </w:r>
            <w:r>
              <w:rPr>
                <w:noProof/>
                <w:webHidden/>
              </w:rPr>
              <w:fldChar w:fldCharType="begin"/>
            </w:r>
            <w:r>
              <w:rPr>
                <w:noProof/>
                <w:webHidden/>
              </w:rPr>
              <w:instrText xml:space="preserve"> PAGEREF _Toc229914497 \h </w:instrText>
            </w:r>
            <w:r>
              <w:rPr>
                <w:noProof/>
                <w:webHidden/>
              </w:rPr>
            </w:r>
            <w:r>
              <w:rPr>
                <w:noProof/>
                <w:webHidden/>
              </w:rPr>
              <w:fldChar w:fldCharType="separate"/>
            </w:r>
            <w:r w:rsidR="0061310E">
              <w:rPr>
                <w:noProof/>
                <w:webHidden/>
              </w:rPr>
              <w:t>16</w:t>
            </w:r>
            <w:r>
              <w:rPr>
                <w:noProof/>
                <w:webHidden/>
              </w:rPr>
              <w:fldChar w:fldCharType="end"/>
            </w:r>
          </w:hyperlink>
        </w:p>
        <w:p w14:paraId="1FD330C5" w14:textId="7F76D4E3"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8" w:history="1">
            <w:r w:rsidRPr="00472176">
              <w:rPr>
                <w:rStyle w:val="Hyperlink"/>
                <w:rFonts w:eastAsia="Arial"/>
                <w:b/>
                <w:bCs/>
                <w:noProof/>
              </w:rPr>
              <w:t>5. Conclusion</w:t>
            </w:r>
            <w:r>
              <w:rPr>
                <w:noProof/>
                <w:webHidden/>
              </w:rPr>
              <w:tab/>
            </w:r>
            <w:r>
              <w:rPr>
                <w:noProof/>
                <w:webHidden/>
              </w:rPr>
              <w:fldChar w:fldCharType="begin"/>
            </w:r>
            <w:r>
              <w:rPr>
                <w:noProof/>
                <w:webHidden/>
              </w:rPr>
              <w:instrText xml:space="preserve"> PAGEREF _Toc229914498 \h </w:instrText>
            </w:r>
            <w:r>
              <w:rPr>
                <w:noProof/>
                <w:webHidden/>
              </w:rPr>
            </w:r>
            <w:r>
              <w:rPr>
                <w:noProof/>
                <w:webHidden/>
              </w:rPr>
              <w:fldChar w:fldCharType="separate"/>
            </w:r>
            <w:r w:rsidR="0061310E">
              <w:rPr>
                <w:noProof/>
                <w:webHidden/>
              </w:rPr>
              <w:t>16</w:t>
            </w:r>
            <w:r>
              <w:rPr>
                <w:noProof/>
                <w:webHidden/>
              </w:rPr>
              <w:fldChar w:fldCharType="end"/>
            </w:r>
          </w:hyperlink>
        </w:p>
        <w:p w14:paraId="0402C1FF" w14:textId="726F452C"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499" w:history="1">
            <w:r w:rsidRPr="00472176">
              <w:rPr>
                <w:rStyle w:val="Hyperlink"/>
                <w:rFonts w:eastAsia="Arial"/>
                <w:b/>
                <w:bCs/>
                <w:noProof/>
              </w:rPr>
              <w:t>Chapter 6: Conclusion</w:t>
            </w:r>
            <w:r>
              <w:rPr>
                <w:noProof/>
                <w:webHidden/>
              </w:rPr>
              <w:tab/>
            </w:r>
            <w:r>
              <w:rPr>
                <w:noProof/>
                <w:webHidden/>
              </w:rPr>
              <w:fldChar w:fldCharType="begin"/>
            </w:r>
            <w:r>
              <w:rPr>
                <w:noProof/>
                <w:webHidden/>
              </w:rPr>
              <w:instrText xml:space="preserve"> PAGEREF _Toc229914499 \h </w:instrText>
            </w:r>
            <w:r>
              <w:rPr>
                <w:noProof/>
                <w:webHidden/>
              </w:rPr>
            </w:r>
            <w:r>
              <w:rPr>
                <w:noProof/>
                <w:webHidden/>
              </w:rPr>
              <w:fldChar w:fldCharType="separate"/>
            </w:r>
            <w:r w:rsidR="0061310E">
              <w:rPr>
                <w:noProof/>
                <w:webHidden/>
              </w:rPr>
              <w:t>16</w:t>
            </w:r>
            <w:r>
              <w:rPr>
                <w:noProof/>
                <w:webHidden/>
              </w:rPr>
              <w:fldChar w:fldCharType="end"/>
            </w:r>
          </w:hyperlink>
        </w:p>
        <w:p w14:paraId="78D91199" w14:textId="53F6896C"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500" w:history="1">
            <w:r w:rsidRPr="00472176">
              <w:rPr>
                <w:rStyle w:val="Hyperlink"/>
                <w:rFonts w:eastAsia="Arial"/>
                <w:b/>
                <w:bCs/>
                <w:noProof/>
              </w:rPr>
              <w:t>6.1  Summary of Findings</w:t>
            </w:r>
            <w:r>
              <w:rPr>
                <w:noProof/>
                <w:webHidden/>
              </w:rPr>
              <w:tab/>
            </w:r>
            <w:r>
              <w:rPr>
                <w:noProof/>
                <w:webHidden/>
              </w:rPr>
              <w:fldChar w:fldCharType="begin"/>
            </w:r>
            <w:r>
              <w:rPr>
                <w:noProof/>
                <w:webHidden/>
              </w:rPr>
              <w:instrText xml:space="preserve"> PAGEREF _Toc229914500 \h </w:instrText>
            </w:r>
            <w:r>
              <w:rPr>
                <w:noProof/>
                <w:webHidden/>
              </w:rPr>
            </w:r>
            <w:r>
              <w:rPr>
                <w:noProof/>
                <w:webHidden/>
              </w:rPr>
              <w:fldChar w:fldCharType="separate"/>
            </w:r>
            <w:r w:rsidR="0061310E">
              <w:rPr>
                <w:noProof/>
                <w:webHidden/>
              </w:rPr>
              <w:t>16</w:t>
            </w:r>
            <w:r>
              <w:rPr>
                <w:noProof/>
                <w:webHidden/>
              </w:rPr>
              <w:fldChar w:fldCharType="end"/>
            </w:r>
          </w:hyperlink>
        </w:p>
        <w:p w14:paraId="3A85231A" w14:textId="6C7D0B7E"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501" w:history="1">
            <w:r w:rsidRPr="00472176">
              <w:rPr>
                <w:rStyle w:val="Hyperlink"/>
                <w:rFonts w:eastAsia="Arial"/>
                <w:b/>
                <w:bCs/>
                <w:noProof/>
              </w:rPr>
              <w:t>6.2  EFERT vs. FFC</w:t>
            </w:r>
            <w:r>
              <w:rPr>
                <w:noProof/>
                <w:webHidden/>
              </w:rPr>
              <w:tab/>
            </w:r>
            <w:r>
              <w:rPr>
                <w:noProof/>
                <w:webHidden/>
              </w:rPr>
              <w:fldChar w:fldCharType="begin"/>
            </w:r>
            <w:r>
              <w:rPr>
                <w:noProof/>
                <w:webHidden/>
              </w:rPr>
              <w:instrText xml:space="preserve"> PAGEREF _Toc229914501 \h </w:instrText>
            </w:r>
            <w:r>
              <w:rPr>
                <w:noProof/>
                <w:webHidden/>
              </w:rPr>
            </w:r>
            <w:r>
              <w:rPr>
                <w:noProof/>
                <w:webHidden/>
              </w:rPr>
              <w:fldChar w:fldCharType="separate"/>
            </w:r>
            <w:r w:rsidR="0061310E">
              <w:rPr>
                <w:noProof/>
                <w:webHidden/>
              </w:rPr>
              <w:t>17</w:t>
            </w:r>
            <w:r>
              <w:rPr>
                <w:noProof/>
                <w:webHidden/>
              </w:rPr>
              <w:fldChar w:fldCharType="end"/>
            </w:r>
          </w:hyperlink>
        </w:p>
        <w:p w14:paraId="20A0747D" w14:textId="627A2B05" w:rsidR="00C37C72" w:rsidRDefault="00C37C72">
          <w:pPr>
            <w:pStyle w:val="TOC2"/>
            <w:tabs>
              <w:tab w:val="right" w:leader="dot" w:pos="9350"/>
            </w:tabs>
            <w:rPr>
              <w:rFonts w:asciiTheme="minorHAnsi" w:eastAsiaTheme="minorEastAsia" w:hAnsiTheme="minorHAnsi" w:cstheme="minorBidi"/>
              <w:noProof/>
              <w:kern w:val="2"/>
              <w14:ligatures w14:val="standardContextual"/>
            </w:rPr>
          </w:pPr>
          <w:hyperlink w:anchor="_Toc229914502" w:history="1">
            <w:r w:rsidRPr="00472176">
              <w:rPr>
                <w:rStyle w:val="Hyperlink"/>
                <w:rFonts w:eastAsia="Arial"/>
                <w:b/>
                <w:bCs/>
                <w:noProof/>
              </w:rPr>
              <w:t>6.3  Recommendations</w:t>
            </w:r>
            <w:r>
              <w:rPr>
                <w:noProof/>
                <w:webHidden/>
              </w:rPr>
              <w:tab/>
            </w:r>
            <w:r>
              <w:rPr>
                <w:noProof/>
                <w:webHidden/>
              </w:rPr>
              <w:fldChar w:fldCharType="begin"/>
            </w:r>
            <w:r>
              <w:rPr>
                <w:noProof/>
                <w:webHidden/>
              </w:rPr>
              <w:instrText xml:space="preserve"> PAGEREF _Toc229914502 \h </w:instrText>
            </w:r>
            <w:r>
              <w:rPr>
                <w:noProof/>
                <w:webHidden/>
              </w:rPr>
            </w:r>
            <w:r>
              <w:rPr>
                <w:noProof/>
                <w:webHidden/>
              </w:rPr>
              <w:fldChar w:fldCharType="separate"/>
            </w:r>
            <w:r w:rsidR="0061310E">
              <w:rPr>
                <w:noProof/>
                <w:webHidden/>
              </w:rPr>
              <w:t>17</w:t>
            </w:r>
            <w:r>
              <w:rPr>
                <w:noProof/>
                <w:webHidden/>
              </w:rPr>
              <w:fldChar w:fldCharType="end"/>
            </w:r>
          </w:hyperlink>
        </w:p>
        <w:p w14:paraId="46A1A34C" w14:textId="10514A59" w:rsidR="00C37C72" w:rsidRDefault="00C37C72">
          <w:pPr>
            <w:pStyle w:val="TOC1"/>
            <w:tabs>
              <w:tab w:val="right" w:leader="dot" w:pos="9350"/>
            </w:tabs>
            <w:rPr>
              <w:rFonts w:asciiTheme="minorHAnsi" w:eastAsiaTheme="minorEastAsia" w:hAnsiTheme="minorHAnsi" w:cstheme="minorBidi"/>
              <w:noProof/>
              <w:kern w:val="2"/>
              <w14:ligatures w14:val="standardContextual"/>
            </w:rPr>
          </w:pPr>
          <w:hyperlink w:anchor="_Toc229914503" w:history="1">
            <w:r w:rsidRPr="00472176">
              <w:rPr>
                <w:rStyle w:val="Hyperlink"/>
                <w:rFonts w:eastAsia="Arial"/>
                <w:b/>
                <w:bCs/>
                <w:noProof/>
              </w:rPr>
              <w:t>References</w:t>
            </w:r>
            <w:r>
              <w:rPr>
                <w:noProof/>
                <w:webHidden/>
              </w:rPr>
              <w:tab/>
            </w:r>
            <w:r>
              <w:rPr>
                <w:noProof/>
                <w:webHidden/>
              </w:rPr>
              <w:fldChar w:fldCharType="begin"/>
            </w:r>
            <w:r>
              <w:rPr>
                <w:noProof/>
                <w:webHidden/>
              </w:rPr>
              <w:instrText xml:space="preserve"> PAGEREF _Toc229914503 \h </w:instrText>
            </w:r>
            <w:r>
              <w:rPr>
                <w:noProof/>
                <w:webHidden/>
              </w:rPr>
            </w:r>
            <w:r>
              <w:rPr>
                <w:noProof/>
                <w:webHidden/>
              </w:rPr>
              <w:fldChar w:fldCharType="separate"/>
            </w:r>
            <w:r w:rsidR="0061310E">
              <w:rPr>
                <w:noProof/>
                <w:webHidden/>
              </w:rPr>
              <w:t>18</w:t>
            </w:r>
            <w:r>
              <w:rPr>
                <w:noProof/>
                <w:webHidden/>
              </w:rPr>
              <w:fldChar w:fldCharType="end"/>
            </w:r>
          </w:hyperlink>
        </w:p>
        <w:p w14:paraId="11E29E93" w14:textId="420263D1" w:rsidR="008C3FCB" w:rsidRDefault="008C3FCB">
          <w:r>
            <w:rPr>
              <w:b/>
              <w:bCs/>
            </w:rPr>
            <w:fldChar w:fldCharType="end"/>
          </w:r>
        </w:p>
      </w:sdtContent>
    </w:sdt>
    <w:p w14:paraId="14F4626E" w14:textId="77777777" w:rsidR="00716602" w:rsidRDefault="00716602">
      <w:pPr>
        <w:rPr>
          <w:rFonts w:eastAsiaTheme="majorEastAsia"/>
          <w:color w:val="0F4761" w:themeColor="accent1" w:themeShade="BF"/>
          <w:sz w:val="32"/>
          <w:szCs w:val="32"/>
        </w:rPr>
      </w:pPr>
      <w:r>
        <w:br w:type="page"/>
      </w:r>
    </w:p>
    <w:p w14:paraId="0AEF72E1" w14:textId="1883D7A4" w:rsidR="00451854" w:rsidRDefault="001E0A6B" w:rsidP="00451854">
      <w:pPr>
        <w:pStyle w:val="TOCHeading"/>
        <w:jc w:val="center"/>
        <w:rPr>
          <w:rFonts w:ascii="Times New Roman" w:hAnsi="Times New Roman" w:cs="Times New Roman"/>
        </w:rPr>
      </w:pPr>
      <w:r>
        <w:rPr>
          <w:rFonts w:ascii="Times New Roman" w:hAnsi="Times New Roman" w:cs="Times New Roman"/>
        </w:rPr>
        <w:lastRenderedPageBreak/>
        <w:t>List of Tables</w:t>
      </w:r>
    </w:p>
    <w:p w14:paraId="1C042EF9" w14:textId="60ACC766" w:rsidR="001E0A6B" w:rsidRDefault="001E0A6B">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9826575" w:history="1">
        <w:r w:rsidRPr="00D27DB7">
          <w:rPr>
            <w:rStyle w:val="Hyperlink"/>
            <w:noProof/>
          </w:rPr>
          <w:t>Table 1  Liquidity Ratios</w:t>
        </w:r>
        <w:r>
          <w:rPr>
            <w:noProof/>
            <w:webHidden/>
          </w:rPr>
          <w:tab/>
        </w:r>
        <w:r>
          <w:rPr>
            <w:noProof/>
            <w:webHidden/>
          </w:rPr>
          <w:fldChar w:fldCharType="begin"/>
        </w:r>
        <w:r>
          <w:rPr>
            <w:noProof/>
            <w:webHidden/>
          </w:rPr>
          <w:instrText xml:space="preserve"> PAGEREF _Toc229826575 \h </w:instrText>
        </w:r>
        <w:r>
          <w:rPr>
            <w:noProof/>
            <w:webHidden/>
          </w:rPr>
        </w:r>
        <w:r>
          <w:rPr>
            <w:noProof/>
            <w:webHidden/>
          </w:rPr>
          <w:fldChar w:fldCharType="separate"/>
        </w:r>
        <w:r w:rsidR="00C37C72">
          <w:rPr>
            <w:noProof/>
            <w:webHidden/>
          </w:rPr>
          <w:t>4</w:t>
        </w:r>
        <w:r>
          <w:rPr>
            <w:noProof/>
            <w:webHidden/>
          </w:rPr>
          <w:fldChar w:fldCharType="end"/>
        </w:r>
      </w:hyperlink>
    </w:p>
    <w:p w14:paraId="678ABE34" w14:textId="1470948D" w:rsidR="001E0A6B" w:rsidRDefault="001E0A6B">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576" w:history="1">
        <w:r w:rsidRPr="00D27DB7">
          <w:rPr>
            <w:rStyle w:val="Hyperlink"/>
            <w:noProof/>
          </w:rPr>
          <w:t>Table 2 Financial leverage / Debt Ratios</w:t>
        </w:r>
        <w:r>
          <w:rPr>
            <w:noProof/>
            <w:webHidden/>
          </w:rPr>
          <w:tab/>
        </w:r>
        <w:r>
          <w:rPr>
            <w:noProof/>
            <w:webHidden/>
          </w:rPr>
          <w:fldChar w:fldCharType="begin"/>
        </w:r>
        <w:r>
          <w:rPr>
            <w:noProof/>
            <w:webHidden/>
          </w:rPr>
          <w:instrText xml:space="preserve"> PAGEREF _Toc229826576 \h </w:instrText>
        </w:r>
        <w:r>
          <w:rPr>
            <w:noProof/>
            <w:webHidden/>
          </w:rPr>
        </w:r>
        <w:r>
          <w:rPr>
            <w:noProof/>
            <w:webHidden/>
          </w:rPr>
          <w:fldChar w:fldCharType="separate"/>
        </w:r>
        <w:r w:rsidR="00C37C72">
          <w:rPr>
            <w:noProof/>
            <w:webHidden/>
          </w:rPr>
          <w:t>5</w:t>
        </w:r>
        <w:r>
          <w:rPr>
            <w:noProof/>
            <w:webHidden/>
          </w:rPr>
          <w:fldChar w:fldCharType="end"/>
        </w:r>
      </w:hyperlink>
    </w:p>
    <w:p w14:paraId="50AFB020" w14:textId="137A86B8" w:rsidR="001E0A6B" w:rsidRDefault="001E0A6B">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577" w:history="1">
        <w:r w:rsidRPr="00D27DB7">
          <w:rPr>
            <w:rStyle w:val="Hyperlink"/>
            <w:noProof/>
          </w:rPr>
          <w:t>Table 3 Coverage Ratios</w:t>
        </w:r>
        <w:r>
          <w:rPr>
            <w:noProof/>
            <w:webHidden/>
          </w:rPr>
          <w:tab/>
        </w:r>
        <w:r>
          <w:rPr>
            <w:noProof/>
            <w:webHidden/>
          </w:rPr>
          <w:fldChar w:fldCharType="begin"/>
        </w:r>
        <w:r>
          <w:rPr>
            <w:noProof/>
            <w:webHidden/>
          </w:rPr>
          <w:instrText xml:space="preserve"> PAGEREF _Toc229826577 \h </w:instrText>
        </w:r>
        <w:r>
          <w:rPr>
            <w:noProof/>
            <w:webHidden/>
          </w:rPr>
        </w:r>
        <w:r>
          <w:rPr>
            <w:noProof/>
            <w:webHidden/>
          </w:rPr>
          <w:fldChar w:fldCharType="separate"/>
        </w:r>
        <w:r w:rsidR="00C37C72">
          <w:rPr>
            <w:noProof/>
            <w:webHidden/>
          </w:rPr>
          <w:t>6</w:t>
        </w:r>
        <w:r>
          <w:rPr>
            <w:noProof/>
            <w:webHidden/>
          </w:rPr>
          <w:fldChar w:fldCharType="end"/>
        </w:r>
      </w:hyperlink>
    </w:p>
    <w:p w14:paraId="7F04904A" w14:textId="2BAD5191" w:rsidR="001E0A6B" w:rsidRDefault="001E0A6B">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578" w:history="1">
        <w:r w:rsidRPr="00D27DB7">
          <w:rPr>
            <w:rStyle w:val="Hyperlink"/>
            <w:noProof/>
          </w:rPr>
          <w:t>Table 4 Activity Ratios</w:t>
        </w:r>
        <w:r>
          <w:rPr>
            <w:noProof/>
            <w:webHidden/>
          </w:rPr>
          <w:tab/>
        </w:r>
        <w:r>
          <w:rPr>
            <w:noProof/>
            <w:webHidden/>
          </w:rPr>
          <w:fldChar w:fldCharType="begin"/>
        </w:r>
        <w:r>
          <w:rPr>
            <w:noProof/>
            <w:webHidden/>
          </w:rPr>
          <w:instrText xml:space="preserve"> PAGEREF _Toc229826578 \h </w:instrText>
        </w:r>
        <w:r>
          <w:rPr>
            <w:noProof/>
            <w:webHidden/>
          </w:rPr>
        </w:r>
        <w:r>
          <w:rPr>
            <w:noProof/>
            <w:webHidden/>
          </w:rPr>
          <w:fldChar w:fldCharType="separate"/>
        </w:r>
        <w:r w:rsidR="00C37C72">
          <w:rPr>
            <w:noProof/>
            <w:webHidden/>
          </w:rPr>
          <w:t>6</w:t>
        </w:r>
        <w:r>
          <w:rPr>
            <w:noProof/>
            <w:webHidden/>
          </w:rPr>
          <w:fldChar w:fldCharType="end"/>
        </w:r>
      </w:hyperlink>
    </w:p>
    <w:p w14:paraId="6D2070D3" w14:textId="47B234D0" w:rsidR="001E0A6B" w:rsidRDefault="001E0A6B">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579" w:history="1">
        <w:r w:rsidRPr="00D27DB7">
          <w:rPr>
            <w:rStyle w:val="Hyperlink"/>
            <w:noProof/>
          </w:rPr>
          <w:t>Table 5 Activity Ratios(Days)</w:t>
        </w:r>
        <w:r>
          <w:rPr>
            <w:noProof/>
            <w:webHidden/>
          </w:rPr>
          <w:tab/>
        </w:r>
        <w:r>
          <w:rPr>
            <w:noProof/>
            <w:webHidden/>
          </w:rPr>
          <w:fldChar w:fldCharType="begin"/>
        </w:r>
        <w:r>
          <w:rPr>
            <w:noProof/>
            <w:webHidden/>
          </w:rPr>
          <w:instrText xml:space="preserve"> PAGEREF _Toc229826579 \h </w:instrText>
        </w:r>
        <w:r>
          <w:rPr>
            <w:noProof/>
            <w:webHidden/>
          </w:rPr>
        </w:r>
        <w:r>
          <w:rPr>
            <w:noProof/>
            <w:webHidden/>
          </w:rPr>
          <w:fldChar w:fldCharType="separate"/>
        </w:r>
        <w:r w:rsidR="00C37C72">
          <w:rPr>
            <w:noProof/>
            <w:webHidden/>
          </w:rPr>
          <w:t>7</w:t>
        </w:r>
        <w:r>
          <w:rPr>
            <w:noProof/>
            <w:webHidden/>
          </w:rPr>
          <w:fldChar w:fldCharType="end"/>
        </w:r>
      </w:hyperlink>
    </w:p>
    <w:p w14:paraId="109537EE" w14:textId="2CEFC605" w:rsidR="001E0A6B" w:rsidRDefault="001E0A6B">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580" w:history="1">
        <w:r w:rsidRPr="00D27DB7">
          <w:rPr>
            <w:rStyle w:val="Hyperlink"/>
            <w:noProof/>
          </w:rPr>
          <w:t>Table 6 Profitability Ratios</w:t>
        </w:r>
        <w:r>
          <w:rPr>
            <w:noProof/>
            <w:webHidden/>
          </w:rPr>
          <w:tab/>
        </w:r>
        <w:r>
          <w:rPr>
            <w:noProof/>
            <w:webHidden/>
          </w:rPr>
          <w:fldChar w:fldCharType="begin"/>
        </w:r>
        <w:r>
          <w:rPr>
            <w:noProof/>
            <w:webHidden/>
          </w:rPr>
          <w:instrText xml:space="preserve"> PAGEREF _Toc229826580 \h </w:instrText>
        </w:r>
        <w:r>
          <w:rPr>
            <w:noProof/>
            <w:webHidden/>
          </w:rPr>
        </w:r>
        <w:r>
          <w:rPr>
            <w:noProof/>
            <w:webHidden/>
          </w:rPr>
          <w:fldChar w:fldCharType="separate"/>
        </w:r>
        <w:r w:rsidR="00C37C72">
          <w:rPr>
            <w:noProof/>
            <w:webHidden/>
          </w:rPr>
          <w:t>8</w:t>
        </w:r>
        <w:r>
          <w:rPr>
            <w:noProof/>
            <w:webHidden/>
          </w:rPr>
          <w:fldChar w:fldCharType="end"/>
        </w:r>
      </w:hyperlink>
    </w:p>
    <w:p w14:paraId="478F60E1" w14:textId="777CF4E5" w:rsidR="001E0A6B" w:rsidRDefault="001E0A6B">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581" w:history="1">
        <w:r w:rsidRPr="00D27DB7">
          <w:rPr>
            <w:rStyle w:val="Hyperlink"/>
            <w:noProof/>
          </w:rPr>
          <w:t>Table 7 Horizontal Analysis</w:t>
        </w:r>
        <w:r>
          <w:rPr>
            <w:noProof/>
            <w:webHidden/>
          </w:rPr>
          <w:tab/>
        </w:r>
        <w:r>
          <w:rPr>
            <w:noProof/>
            <w:webHidden/>
          </w:rPr>
          <w:fldChar w:fldCharType="begin"/>
        </w:r>
        <w:r>
          <w:rPr>
            <w:noProof/>
            <w:webHidden/>
          </w:rPr>
          <w:instrText xml:space="preserve"> PAGEREF _Toc229826581 \h </w:instrText>
        </w:r>
        <w:r>
          <w:rPr>
            <w:noProof/>
            <w:webHidden/>
          </w:rPr>
        </w:r>
        <w:r>
          <w:rPr>
            <w:noProof/>
            <w:webHidden/>
          </w:rPr>
          <w:fldChar w:fldCharType="separate"/>
        </w:r>
        <w:r w:rsidR="00C37C72">
          <w:rPr>
            <w:noProof/>
            <w:webHidden/>
          </w:rPr>
          <w:t>12</w:t>
        </w:r>
        <w:r>
          <w:rPr>
            <w:noProof/>
            <w:webHidden/>
          </w:rPr>
          <w:fldChar w:fldCharType="end"/>
        </w:r>
      </w:hyperlink>
    </w:p>
    <w:p w14:paraId="45163A89" w14:textId="62847326" w:rsidR="001E0A6B" w:rsidRPr="001E0A6B" w:rsidRDefault="001E0A6B" w:rsidP="001E0A6B">
      <w:r>
        <w:fldChar w:fldCharType="end"/>
      </w:r>
    </w:p>
    <w:p w14:paraId="4BEBF152" w14:textId="77777777" w:rsidR="00716602" w:rsidRDefault="00451854" w:rsidP="00F7613C">
      <w:pPr>
        <w:pStyle w:val="TOCHeading"/>
        <w:jc w:val="center"/>
        <w:rPr>
          <w:rFonts w:ascii="Times New Roman" w:hAnsi="Times New Roman" w:cs="Times New Roman"/>
        </w:rPr>
      </w:pPr>
      <w:r>
        <w:rPr>
          <w:rFonts w:ascii="Times New Roman" w:hAnsi="Times New Roman" w:cs="Times New Roman"/>
        </w:rPr>
        <w:br/>
      </w:r>
    </w:p>
    <w:p w14:paraId="4935F2B7" w14:textId="77777777" w:rsidR="00716602" w:rsidRDefault="00716602">
      <w:pPr>
        <w:rPr>
          <w:rFonts w:eastAsiaTheme="majorEastAsia"/>
          <w:color w:val="0F4761" w:themeColor="accent1" w:themeShade="BF"/>
          <w:sz w:val="32"/>
          <w:szCs w:val="32"/>
        </w:rPr>
      </w:pPr>
      <w:r>
        <w:br w:type="page"/>
      </w:r>
    </w:p>
    <w:p w14:paraId="09C461BC" w14:textId="3595A70A" w:rsidR="00F7613C" w:rsidRPr="00AD2536" w:rsidRDefault="001E0A6B" w:rsidP="00F7613C">
      <w:pPr>
        <w:pStyle w:val="TOCHeading"/>
        <w:jc w:val="center"/>
        <w:rPr>
          <w:rFonts w:ascii="Times New Roman" w:hAnsi="Times New Roman" w:cs="Times New Roman"/>
        </w:rPr>
      </w:pPr>
      <w:r>
        <w:rPr>
          <w:rFonts w:ascii="Times New Roman" w:hAnsi="Times New Roman" w:cs="Times New Roman"/>
        </w:rPr>
        <w:lastRenderedPageBreak/>
        <w:t>List of Figures</w:t>
      </w:r>
    </w:p>
    <w:p w14:paraId="28541D35" w14:textId="09200AAE"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r>
        <w:rPr>
          <w:rFonts w:eastAsia="Arial"/>
          <w:b/>
          <w:bCs/>
          <w:color w:val="1F3864"/>
        </w:rPr>
        <w:br/>
      </w:r>
      <w:r>
        <w:rPr>
          <w:rFonts w:eastAsia="Arial"/>
          <w:b/>
          <w:bCs/>
          <w:color w:val="1F3864"/>
        </w:rPr>
        <w:fldChar w:fldCharType="begin"/>
      </w:r>
      <w:r>
        <w:rPr>
          <w:rFonts w:eastAsia="Arial"/>
          <w:b/>
          <w:bCs/>
          <w:color w:val="1F3864"/>
        </w:rPr>
        <w:instrText xml:space="preserve"> TOC \h \z \c "Figure" </w:instrText>
      </w:r>
      <w:r>
        <w:rPr>
          <w:rFonts w:eastAsia="Arial"/>
          <w:b/>
          <w:bCs/>
          <w:color w:val="1F3864"/>
        </w:rPr>
        <w:fldChar w:fldCharType="separate"/>
      </w:r>
      <w:hyperlink w:anchor="_Toc229826427" w:history="1">
        <w:r w:rsidRPr="0021045B">
          <w:rPr>
            <w:rStyle w:val="Hyperlink"/>
            <w:noProof/>
          </w:rPr>
          <w:t>Figure 1 Liquidity Ratios</w:t>
        </w:r>
        <w:r>
          <w:rPr>
            <w:noProof/>
            <w:webHidden/>
          </w:rPr>
          <w:tab/>
        </w:r>
        <w:r>
          <w:rPr>
            <w:noProof/>
            <w:webHidden/>
          </w:rPr>
          <w:fldChar w:fldCharType="begin"/>
        </w:r>
        <w:r>
          <w:rPr>
            <w:noProof/>
            <w:webHidden/>
          </w:rPr>
          <w:instrText xml:space="preserve"> PAGEREF _Toc229826427 \h </w:instrText>
        </w:r>
        <w:r>
          <w:rPr>
            <w:noProof/>
            <w:webHidden/>
          </w:rPr>
        </w:r>
        <w:r>
          <w:rPr>
            <w:noProof/>
            <w:webHidden/>
          </w:rPr>
          <w:fldChar w:fldCharType="separate"/>
        </w:r>
        <w:r w:rsidR="00C37C72">
          <w:rPr>
            <w:noProof/>
            <w:webHidden/>
          </w:rPr>
          <w:t>4</w:t>
        </w:r>
        <w:r>
          <w:rPr>
            <w:noProof/>
            <w:webHidden/>
          </w:rPr>
          <w:fldChar w:fldCharType="end"/>
        </w:r>
      </w:hyperlink>
    </w:p>
    <w:p w14:paraId="3DF152D2" w14:textId="00D04B14"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28" w:history="1">
        <w:r w:rsidRPr="0021045B">
          <w:rPr>
            <w:rStyle w:val="Hyperlink"/>
            <w:noProof/>
          </w:rPr>
          <w:t>Figure 2 Leverage Ratios</w:t>
        </w:r>
        <w:r>
          <w:rPr>
            <w:noProof/>
            <w:webHidden/>
          </w:rPr>
          <w:tab/>
        </w:r>
        <w:r>
          <w:rPr>
            <w:noProof/>
            <w:webHidden/>
          </w:rPr>
          <w:fldChar w:fldCharType="begin"/>
        </w:r>
        <w:r>
          <w:rPr>
            <w:noProof/>
            <w:webHidden/>
          </w:rPr>
          <w:instrText xml:space="preserve"> PAGEREF _Toc229826428 \h </w:instrText>
        </w:r>
        <w:r>
          <w:rPr>
            <w:noProof/>
            <w:webHidden/>
          </w:rPr>
        </w:r>
        <w:r>
          <w:rPr>
            <w:noProof/>
            <w:webHidden/>
          </w:rPr>
          <w:fldChar w:fldCharType="separate"/>
        </w:r>
        <w:r w:rsidR="00C37C72">
          <w:rPr>
            <w:noProof/>
            <w:webHidden/>
          </w:rPr>
          <w:t>5</w:t>
        </w:r>
        <w:r>
          <w:rPr>
            <w:noProof/>
            <w:webHidden/>
          </w:rPr>
          <w:fldChar w:fldCharType="end"/>
        </w:r>
      </w:hyperlink>
    </w:p>
    <w:p w14:paraId="6E031096" w14:textId="07549507"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29" w:history="1">
        <w:r w:rsidRPr="0021045B">
          <w:rPr>
            <w:rStyle w:val="Hyperlink"/>
            <w:noProof/>
          </w:rPr>
          <w:t>Figure 3 Coverage Ratios</w:t>
        </w:r>
        <w:r>
          <w:rPr>
            <w:noProof/>
            <w:webHidden/>
          </w:rPr>
          <w:tab/>
        </w:r>
        <w:r>
          <w:rPr>
            <w:noProof/>
            <w:webHidden/>
          </w:rPr>
          <w:fldChar w:fldCharType="begin"/>
        </w:r>
        <w:r>
          <w:rPr>
            <w:noProof/>
            <w:webHidden/>
          </w:rPr>
          <w:instrText xml:space="preserve"> PAGEREF _Toc229826429 \h </w:instrText>
        </w:r>
        <w:r>
          <w:rPr>
            <w:noProof/>
            <w:webHidden/>
          </w:rPr>
        </w:r>
        <w:r>
          <w:rPr>
            <w:noProof/>
            <w:webHidden/>
          </w:rPr>
          <w:fldChar w:fldCharType="separate"/>
        </w:r>
        <w:r w:rsidR="00C37C72">
          <w:rPr>
            <w:noProof/>
            <w:webHidden/>
          </w:rPr>
          <w:t>6</w:t>
        </w:r>
        <w:r>
          <w:rPr>
            <w:noProof/>
            <w:webHidden/>
          </w:rPr>
          <w:fldChar w:fldCharType="end"/>
        </w:r>
      </w:hyperlink>
    </w:p>
    <w:p w14:paraId="06A04395" w14:textId="18CD36D7"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30" w:history="1">
        <w:r w:rsidRPr="0021045B">
          <w:rPr>
            <w:rStyle w:val="Hyperlink"/>
            <w:noProof/>
          </w:rPr>
          <w:t>Figure 4 Activity Ratios</w:t>
        </w:r>
        <w:r>
          <w:rPr>
            <w:noProof/>
            <w:webHidden/>
          </w:rPr>
          <w:tab/>
        </w:r>
        <w:r>
          <w:rPr>
            <w:noProof/>
            <w:webHidden/>
          </w:rPr>
          <w:fldChar w:fldCharType="begin"/>
        </w:r>
        <w:r>
          <w:rPr>
            <w:noProof/>
            <w:webHidden/>
          </w:rPr>
          <w:instrText xml:space="preserve"> PAGEREF _Toc229826430 \h </w:instrText>
        </w:r>
        <w:r>
          <w:rPr>
            <w:noProof/>
            <w:webHidden/>
          </w:rPr>
        </w:r>
        <w:r>
          <w:rPr>
            <w:noProof/>
            <w:webHidden/>
          </w:rPr>
          <w:fldChar w:fldCharType="separate"/>
        </w:r>
        <w:r w:rsidR="00C37C72">
          <w:rPr>
            <w:noProof/>
            <w:webHidden/>
          </w:rPr>
          <w:t>7</w:t>
        </w:r>
        <w:r>
          <w:rPr>
            <w:noProof/>
            <w:webHidden/>
          </w:rPr>
          <w:fldChar w:fldCharType="end"/>
        </w:r>
      </w:hyperlink>
    </w:p>
    <w:p w14:paraId="4D4D4C9F" w14:textId="6F825FA8"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31" w:history="1">
        <w:r w:rsidRPr="0021045B">
          <w:rPr>
            <w:rStyle w:val="Hyperlink"/>
            <w:noProof/>
          </w:rPr>
          <w:t>Figure 5 Activity Ratios (Days)</w:t>
        </w:r>
        <w:r>
          <w:rPr>
            <w:noProof/>
            <w:webHidden/>
          </w:rPr>
          <w:tab/>
        </w:r>
        <w:r>
          <w:rPr>
            <w:noProof/>
            <w:webHidden/>
          </w:rPr>
          <w:fldChar w:fldCharType="begin"/>
        </w:r>
        <w:r>
          <w:rPr>
            <w:noProof/>
            <w:webHidden/>
          </w:rPr>
          <w:instrText xml:space="preserve"> PAGEREF _Toc229826431 \h </w:instrText>
        </w:r>
        <w:r>
          <w:rPr>
            <w:noProof/>
            <w:webHidden/>
          </w:rPr>
        </w:r>
        <w:r>
          <w:rPr>
            <w:noProof/>
            <w:webHidden/>
          </w:rPr>
          <w:fldChar w:fldCharType="separate"/>
        </w:r>
        <w:r w:rsidR="00C37C72">
          <w:rPr>
            <w:noProof/>
            <w:webHidden/>
          </w:rPr>
          <w:t>8</w:t>
        </w:r>
        <w:r>
          <w:rPr>
            <w:noProof/>
            <w:webHidden/>
          </w:rPr>
          <w:fldChar w:fldCharType="end"/>
        </w:r>
      </w:hyperlink>
    </w:p>
    <w:p w14:paraId="29815105" w14:textId="0B4A7BF7"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32" w:history="1">
        <w:r w:rsidRPr="0021045B">
          <w:rPr>
            <w:rStyle w:val="Hyperlink"/>
            <w:noProof/>
          </w:rPr>
          <w:t>Figure 6 Profitability Ratios</w:t>
        </w:r>
        <w:r>
          <w:rPr>
            <w:noProof/>
            <w:webHidden/>
          </w:rPr>
          <w:tab/>
        </w:r>
        <w:r>
          <w:rPr>
            <w:noProof/>
            <w:webHidden/>
          </w:rPr>
          <w:fldChar w:fldCharType="begin"/>
        </w:r>
        <w:r>
          <w:rPr>
            <w:noProof/>
            <w:webHidden/>
          </w:rPr>
          <w:instrText xml:space="preserve"> PAGEREF _Toc229826432 \h </w:instrText>
        </w:r>
        <w:r>
          <w:rPr>
            <w:noProof/>
            <w:webHidden/>
          </w:rPr>
        </w:r>
        <w:r>
          <w:rPr>
            <w:noProof/>
            <w:webHidden/>
          </w:rPr>
          <w:fldChar w:fldCharType="separate"/>
        </w:r>
        <w:r w:rsidR="00C37C72">
          <w:rPr>
            <w:noProof/>
            <w:webHidden/>
          </w:rPr>
          <w:t>9</w:t>
        </w:r>
        <w:r>
          <w:rPr>
            <w:noProof/>
            <w:webHidden/>
          </w:rPr>
          <w:fldChar w:fldCharType="end"/>
        </w:r>
      </w:hyperlink>
    </w:p>
    <w:p w14:paraId="610DFDD0" w14:textId="7E0AEED6"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33" w:history="1">
        <w:r w:rsidRPr="0021045B">
          <w:rPr>
            <w:rStyle w:val="Hyperlink"/>
            <w:noProof/>
          </w:rPr>
          <w:t>Figure 7 Common Size / Vertical Analysis(Balance Sheet)</w:t>
        </w:r>
        <w:r>
          <w:rPr>
            <w:noProof/>
            <w:webHidden/>
          </w:rPr>
          <w:tab/>
        </w:r>
        <w:r>
          <w:rPr>
            <w:noProof/>
            <w:webHidden/>
          </w:rPr>
          <w:fldChar w:fldCharType="begin"/>
        </w:r>
        <w:r>
          <w:rPr>
            <w:noProof/>
            <w:webHidden/>
          </w:rPr>
          <w:instrText xml:space="preserve"> PAGEREF _Toc229826433 \h </w:instrText>
        </w:r>
        <w:r>
          <w:rPr>
            <w:noProof/>
            <w:webHidden/>
          </w:rPr>
        </w:r>
        <w:r>
          <w:rPr>
            <w:noProof/>
            <w:webHidden/>
          </w:rPr>
          <w:fldChar w:fldCharType="separate"/>
        </w:r>
        <w:r w:rsidR="00C37C72">
          <w:rPr>
            <w:noProof/>
            <w:webHidden/>
          </w:rPr>
          <w:t>11</w:t>
        </w:r>
        <w:r>
          <w:rPr>
            <w:noProof/>
            <w:webHidden/>
          </w:rPr>
          <w:fldChar w:fldCharType="end"/>
        </w:r>
      </w:hyperlink>
    </w:p>
    <w:p w14:paraId="70CEFBF6" w14:textId="5FDA6370"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34" w:history="1">
        <w:r w:rsidRPr="0021045B">
          <w:rPr>
            <w:rStyle w:val="Hyperlink"/>
            <w:noProof/>
          </w:rPr>
          <w:t>Figure 8 Common Size / Vertical Analysis(Income Statement)</w:t>
        </w:r>
        <w:r>
          <w:rPr>
            <w:noProof/>
            <w:webHidden/>
          </w:rPr>
          <w:tab/>
        </w:r>
        <w:r>
          <w:rPr>
            <w:noProof/>
            <w:webHidden/>
          </w:rPr>
          <w:fldChar w:fldCharType="begin"/>
        </w:r>
        <w:r>
          <w:rPr>
            <w:noProof/>
            <w:webHidden/>
          </w:rPr>
          <w:instrText xml:space="preserve"> PAGEREF _Toc229826434 \h </w:instrText>
        </w:r>
        <w:r>
          <w:rPr>
            <w:noProof/>
            <w:webHidden/>
          </w:rPr>
        </w:r>
        <w:r>
          <w:rPr>
            <w:noProof/>
            <w:webHidden/>
          </w:rPr>
          <w:fldChar w:fldCharType="separate"/>
        </w:r>
        <w:r w:rsidR="00C37C72">
          <w:rPr>
            <w:noProof/>
            <w:webHidden/>
          </w:rPr>
          <w:t>11</w:t>
        </w:r>
        <w:r>
          <w:rPr>
            <w:noProof/>
            <w:webHidden/>
          </w:rPr>
          <w:fldChar w:fldCharType="end"/>
        </w:r>
      </w:hyperlink>
    </w:p>
    <w:p w14:paraId="4FA4FFAE" w14:textId="7C614D3A" w:rsidR="00F7613C" w:rsidRDefault="00F7613C">
      <w:pPr>
        <w:pStyle w:val="TableofFigures"/>
        <w:tabs>
          <w:tab w:val="right" w:leader="dot" w:pos="9350"/>
        </w:tabs>
        <w:rPr>
          <w:rFonts w:asciiTheme="minorHAnsi" w:eastAsiaTheme="minorEastAsia" w:hAnsiTheme="minorHAnsi" w:cstheme="minorBidi"/>
          <w:noProof/>
          <w:kern w:val="2"/>
          <w14:ligatures w14:val="standardContextual"/>
        </w:rPr>
      </w:pPr>
      <w:hyperlink w:anchor="_Toc229826435" w:history="1">
        <w:r w:rsidRPr="0021045B">
          <w:rPr>
            <w:rStyle w:val="Hyperlink"/>
            <w:noProof/>
          </w:rPr>
          <w:t>Figure 9 Horizontal (Index) Analysis</w:t>
        </w:r>
        <w:r>
          <w:rPr>
            <w:noProof/>
            <w:webHidden/>
          </w:rPr>
          <w:tab/>
        </w:r>
        <w:r>
          <w:rPr>
            <w:noProof/>
            <w:webHidden/>
          </w:rPr>
          <w:fldChar w:fldCharType="begin"/>
        </w:r>
        <w:r>
          <w:rPr>
            <w:noProof/>
            <w:webHidden/>
          </w:rPr>
          <w:instrText xml:space="preserve"> PAGEREF _Toc229826435 \h </w:instrText>
        </w:r>
        <w:r>
          <w:rPr>
            <w:noProof/>
            <w:webHidden/>
          </w:rPr>
        </w:r>
        <w:r>
          <w:rPr>
            <w:noProof/>
            <w:webHidden/>
          </w:rPr>
          <w:fldChar w:fldCharType="separate"/>
        </w:r>
        <w:r w:rsidR="00C37C72">
          <w:rPr>
            <w:noProof/>
            <w:webHidden/>
          </w:rPr>
          <w:t>14</w:t>
        </w:r>
        <w:r>
          <w:rPr>
            <w:noProof/>
            <w:webHidden/>
          </w:rPr>
          <w:fldChar w:fldCharType="end"/>
        </w:r>
      </w:hyperlink>
    </w:p>
    <w:p w14:paraId="3B971C62" w14:textId="77777777" w:rsidR="00094918" w:rsidRDefault="00F7613C" w:rsidP="00AA4851">
      <w:pPr>
        <w:pStyle w:val="Heading1"/>
        <w:spacing w:before="400" w:after="120" w:line="360" w:lineRule="auto"/>
        <w:jc w:val="both"/>
        <w:rPr>
          <w:rFonts w:eastAsia="Arial"/>
          <w:b/>
          <w:bCs/>
          <w:color w:val="1F3864"/>
        </w:rPr>
      </w:pPr>
      <w:r>
        <w:rPr>
          <w:rFonts w:eastAsia="Arial"/>
          <w:b/>
          <w:bCs/>
          <w:color w:val="1F3864"/>
        </w:rPr>
        <w:fldChar w:fldCharType="end"/>
      </w:r>
    </w:p>
    <w:p w14:paraId="44084CCA" w14:textId="77777777" w:rsidR="00094918" w:rsidRDefault="00094918">
      <w:pPr>
        <w:rPr>
          <w:rFonts w:eastAsia="Arial"/>
          <w:b/>
          <w:bCs/>
          <w:color w:val="1F3864"/>
          <w:sz w:val="32"/>
          <w:szCs w:val="32"/>
        </w:rPr>
      </w:pPr>
      <w:r>
        <w:rPr>
          <w:rFonts w:eastAsia="Arial"/>
          <w:b/>
          <w:bCs/>
          <w:color w:val="1F3864"/>
        </w:rPr>
        <w:br w:type="page"/>
      </w:r>
    </w:p>
    <w:p w14:paraId="3739057C" w14:textId="2F289C7E" w:rsidR="00691617" w:rsidRPr="00AA4851" w:rsidRDefault="00A41412" w:rsidP="00AA4851">
      <w:pPr>
        <w:pStyle w:val="Heading1"/>
        <w:spacing w:before="400" w:after="120" w:line="360" w:lineRule="auto"/>
        <w:jc w:val="both"/>
        <w:rPr>
          <w:rFonts w:eastAsia="Arial"/>
          <w:b/>
          <w:bCs/>
          <w:color w:val="1F3864"/>
        </w:rPr>
      </w:pPr>
      <w:r>
        <w:rPr>
          <w:rFonts w:eastAsia="Arial"/>
          <w:b/>
          <w:bCs/>
          <w:color w:val="1F3864"/>
        </w:rPr>
        <w:lastRenderedPageBreak/>
        <w:br/>
      </w:r>
      <w:bookmarkStart w:id="0" w:name="_Toc229914479"/>
      <w:r w:rsidR="004D372C">
        <w:rPr>
          <w:rFonts w:eastAsia="Arial"/>
          <w:b/>
          <w:bCs/>
          <w:color w:val="1F3864"/>
        </w:rPr>
        <w:t>Chapter 1: Introduction</w:t>
      </w:r>
      <w:bookmarkEnd w:id="0"/>
    </w:p>
    <w:p w14:paraId="590FC668" w14:textId="141E2F38" w:rsidR="00245623" w:rsidRPr="00245623" w:rsidRDefault="00245623" w:rsidP="00F438EE">
      <w:pPr>
        <w:spacing w:after="160" w:line="360" w:lineRule="auto"/>
        <w:jc w:val="both"/>
      </w:pPr>
      <w:r w:rsidRPr="00245623">
        <w:t xml:space="preserve">To evaluate a company’s </w:t>
      </w:r>
      <w:proofErr w:type="gramStart"/>
      <w:r w:rsidRPr="00245623">
        <w:t>future prospects</w:t>
      </w:r>
      <w:proofErr w:type="gramEnd"/>
      <w:r w:rsidRPr="00245623">
        <w:t>, performance and financial position financial analysis is done. It considers both income statement and balance sheet to get insights through different trends. In this project, financial analysis is conducted on Engro Fertilizers Limited using ratio analysis, trend analysis, and risk-return measures. The focus is to assess the company’s liquidity, profitability, efficiency, and financial stability over past few years.</w:t>
      </w:r>
    </w:p>
    <w:p w14:paraId="0A958AC8" w14:textId="77777777" w:rsidR="00691617" w:rsidRPr="00AA4851" w:rsidRDefault="00691617" w:rsidP="00AA4851">
      <w:pPr>
        <w:spacing w:line="360" w:lineRule="auto"/>
        <w:jc w:val="both"/>
      </w:pPr>
    </w:p>
    <w:p w14:paraId="25F9C3A5" w14:textId="77777777" w:rsidR="00691617" w:rsidRPr="00AA4851" w:rsidRDefault="00691617" w:rsidP="00F438EE">
      <w:pPr>
        <w:pStyle w:val="Heading2"/>
        <w:spacing w:before="280" w:after="100" w:line="360" w:lineRule="auto"/>
        <w:jc w:val="both"/>
        <w:rPr>
          <w:rFonts w:eastAsia="Arial"/>
          <w:b/>
          <w:bCs/>
          <w:color w:val="2E75B6"/>
          <w:sz w:val="28"/>
          <w:szCs w:val="28"/>
        </w:rPr>
      </w:pPr>
      <w:bookmarkStart w:id="1" w:name="_Toc229914480"/>
      <w:r>
        <w:rPr>
          <w:rFonts w:eastAsia="Arial"/>
          <w:b/>
          <w:bCs/>
          <w:color w:val="2E75B6"/>
          <w:sz w:val="28"/>
          <w:szCs w:val="28"/>
        </w:rPr>
        <w:t>Company’s overview:</w:t>
      </w:r>
      <w:bookmarkEnd w:id="1"/>
    </w:p>
    <w:p w14:paraId="68C4746A" w14:textId="4EF73816" w:rsidR="006F006E" w:rsidRPr="00F438EE" w:rsidRDefault="006F006E" w:rsidP="00F438EE">
      <w:pPr>
        <w:spacing w:after="160" w:line="360" w:lineRule="auto"/>
        <w:jc w:val="both"/>
      </w:pPr>
      <w:r w:rsidRPr="006F006E">
        <w:t>Engro Fertilizers Limited is one of Pakistan’s biggest fertilizer manufacturing companies and operates as a subsidiary of Engro Corporation.</w:t>
      </w:r>
      <w:r w:rsidR="005D2197">
        <w:t xml:space="preserve"> </w:t>
      </w:r>
      <w:r w:rsidRPr="006F006E">
        <w:t xml:space="preserve">Engro Fertilizers was incorporated in 2009 after being separated from </w:t>
      </w:r>
      <w:proofErr w:type="spellStart"/>
      <w:r w:rsidRPr="006F006E">
        <w:t>engro</w:t>
      </w:r>
      <w:proofErr w:type="spellEnd"/>
      <w:r w:rsidRPr="006F006E">
        <w:t xml:space="preserve"> chemical Pakistan. Its</w:t>
      </w:r>
      <w:r w:rsidRPr="00F438EE">
        <w:t xml:space="preserve"> Headquarter is in</w:t>
      </w:r>
      <w:r w:rsidRPr="006F006E">
        <w:t xml:space="preserve"> Karachi, Pakistan</w:t>
      </w:r>
      <w:r w:rsidRPr="00F438EE">
        <w:t xml:space="preserve"> </w:t>
      </w:r>
      <w:r w:rsidRPr="006F006E">
        <w:t xml:space="preserve">Engro fertilizer is a big contributor to Pakistan’s agricultural sector </w:t>
      </w:r>
    </w:p>
    <w:p w14:paraId="0C769579" w14:textId="77777777" w:rsidR="00691617" w:rsidRDefault="00691617" w:rsidP="00F438EE">
      <w:pPr>
        <w:pStyle w:val="Heading2"/>
        <w:spacing w:before="280" w:after="100" w:line="360" w:lineRule="auto"/>
        <w:jc w:val="both"/>
        <w:rPr>
          <w:rFonts w:eastAsia="Arial"/>
          <w:b/>
          <w:bCs/>
          <w:color w:val="2E75B6"/>
          <w:sz w:val="28"/>
          <w:szCs w:val="28"/>
        </w:rPr>
      </w:pPr>
      <w:bookmarkStart w:id="2" w:name="_Toc229914481"/>
      <w:r>
        <w:rPr>
          <w:rFonts w:eastAsia="Arial"/>
          <w:b/>
          <w:bCs/>
          <w:color w:val="2E75B6"/>
          <w:sz w:val="28"/>
          <w:szCs w:val="28"/>
        </w:rPr>
        <w:t>Industry Overview:</w:t>
      </w:r>
      <w:bookmarkEnd w:id="2"/>
    </w:p>
    <w:p w14:paraId="7FA21F3C" w14:textId="2E9209AF" w:rsidR="00215B67" w:rsidRPr="00F438EE" w:rsidRDefault="00215B67" w:rsidP="00F438EE">
      <w:pPr>
        <w:spacing w:after="160" w:line="360" w:lineRule="auto"/>
        <w:jc w:val="both"/>
      </w:pPr>
      <w:r w:rsidRPr="00F438EE">
        <w:t xml:space="preserve">Pakistan is a big agricultural </w:t>
      </w:r>
      <w:proofErr w:type="gramStart"/>
      <w:r w:rsidRPr="00F438EE">
        <w:t>country</w:t>
      </w:r>
      <w:proofErr w:type="gramEnd"/>
      <w:r w:rsidRPr="00F438EE">
        <w:t xml:space="preserve"> and its economy depends on it, so fertilizer industry plays a big role in economic cycle. Fertilizers betters crop yield and ensure food security.</w:t>
      </w:r>
      <w:r w:rsidR="005D2197">
        <w:t xml:space="preserve"> </w:t>
      </w:r>
      <w:r w:rsidRPr="00F438EE">
        <w:t xml:space="preserve">This industry highly depends on natural gas availability, as this sector is big and contributes hugely to the economy so there are government regulations implemented, these factors may </w:t>
      </w:r>
      <w:proofErr w:type="spellStart"/>
      <w:r w:rsidRPr="00F438EE">
        <w:t>affect</w:t>
      </w:r>
      <w:proofErr w:type="spellEnd"/>
      <w:r w:rsidRPr="00F438EE">
        <w:t xml:space="preserve"> on industry performance too as increase in tax or gas prices also affect company net profit.</w:t>
      </w:r>
    </w:p>
    <w:p w14:paraId="09954007" w14:textId="77777777" w:rsidR="00215B67" w:rsidRPr="00F438EE" w:rsidRDefault="00215B67" w:rsidP="00F438EE">
      <w:pPr>
        <w:spacing w:after="160" w:line="360" w:lineRule="auto"/>
        <w:jc w:val="both"/>
      </w:pPr>
      <w:r w:rsidRPr="00F438EE">
        <w:t xml:space="preserve">Despite these challenges, the industry remains profitable due to consistent demand for agricultural inputs. </w:t>
      </w:r>
    </w:p>
    <w:p w14:paraId="43073491" w14:textId="77777777" w:rsidR="00215B67" w:rsidRPr="00215B67" w:rsidRDefault="00215B67" w:rsidP="00215B67">
      <w:pPr>
        <w:rPr>
          <w:rFonts w:eastAsia="Arial"/>
        </w:rPr>
      </w:pPr>
    </w:p>
    <w:p w14:paraId="195D655A" w14:textId="0212D7F1" w:rsidR="00F60791" w:rsidRPr="00AA4851" w:rsidRDefault="00691617" w:rsidP="00AA4851">
      <w:pPr>
        <w:pStyle w:val="Heading1"/>
        <w:spacing w:before="400" w:after="120" w:line="360" w:lineRule="auto"/>
        <w:jc w:val="both"/>
      </w:pPr>
      <w:r>
        <w:rPr>
          <w:rFonts w:eastAsia="Arial"/>
          <w:b/>
          <w:bCs/>
          <w:color w:val="1F3864"/>
        </w:rPr>
        <w:br/>
      </w:r>
      <w:bookmarkStart w:id="3" w:name="_Toc229914482"/>
      <w:r>
        <w:rPr>
          <w:rFonts w:eastAsia="Arial"/>
          <w:b/>
          <w:bCs/>
          <w:color w:val="1F3864"/>
        </w:rPr>
        <w:t>Chapter 2: Trend Analysis</w:t>
      </w:r>
      <w:bookmarkEnd w:id="3"/>
    </w:p>
    <w:p w14:paraId="2F05FADF" w14:textId="77777777" w:rsidR="00F60791" w:rsidRPr="00AA4851" w:rsidRDefault="00B321D9" w:rsidP="00AA4851">
      <w:pPr>
        <w:pStyle w:val="Heading2"/>
        <w:spacing w:before="280" w:after="100" w:line="360" w:lineRule="auto"/>
        <w:jc w:val="both"/>
        <w:rPr>
          <w:rFonts w:eastAsia="Arial"/>
          <w:b/>
          <w:bCs/>
          <w:color w:val="2E75B6"/>
          <w:sz w:val="28"/>
          <w:szCs w:val="28"/>
        </w:rPr>
      </w:pPr>
      <w:bookmarkStart w:id="4" w:name="_Toc229914483"/>
      <w:proofErr w:type="gramStart"/>
      <w:r>
        <w:rPr>
          <w:rFonts w:eastAsia="Arial"/>
          <w:b/>
          <w:bCs/>
          <w:color w:val="2E75B6"/>
          <w:sz w:val="28"/>
          <w:szCs w:val="28"/>
        </w:rPr>
        <w:t>2.1  Introduction</w:t>
      </w:r>
      <w:bookmarkEnd w:id="4"/>
      <w:proofErr w:type="gramEnd"/>
    </w:p>
    <w:p w14:paraId="13761A4D" w14:textId="52399B97" w:rsidR="00F60791" w:rsidRPr="00AA4851" w:rsidRDefault="00B321D9" w:rsidP="00AA4851">
      <w:pPr>
        <w:spacing w:after="160" w:line="360" w:lineRule="auto"/>
        <w:jc w:val="both"/>
      </w:pPr>
      <w:r>
        <w:lastRenderedPageBreak/>
        <w:t>This chapter is all about EFERT’s financial performance from financial year 2023 to financial year 2025 across five ratio categories: liquidity, leverage, coverage, activity, and profitability. FFC's financial year 2025 figures help in comparing the performance of our chosen industry. Ratios are computed from audited annual reports.</w:t>
      </w:r>
    </w:p>
    <w:p w14:paraId="2A298798" w14:textId="77777777" w:rsidR="00A0068D" w:rsidRPr="00AA4851" w:rsidRDefault="00A0068D" w:rsidP="00AA4851">
      <w:pPr>
        <w:pStyle w:val="Heading2"/>
        <w:spacing w:before="280" w:after="100" w:line="360" w:lineRule="auto"/>
        <w:jc w:val="both"/>
        <w:rPr>
          <w:sz w:val="28"/>
          <w:szCs w:val="28"/>
        </w:rPr>
      </w:pPr>
      <w:bookmarkStart w:id="5" w:name="_Toc229914484"/>
      <w:proofErr w:type="gramStart"/>
      <w:r>
        <w:rPr>
          <w:rFonts w:eastAsia="Arial"/>
          <w:b/>
          <w:bCs/>
          <w:color w:val="2E75B6"/>
          <w:sz w:val="28"/>
          <w:szCs w:val="28"/>
        </w:rPr>
        <w:t>2.2  Liquidity</w:t>
      </w:r>
      <w:proofErr w:type="gramEnd"/>
      <w:r>
        <w:rPr>
          <w:rFonts w:eastAsia="Arial"/>
          <w:b/>
          <w:bCs/>
          <w:color w:val="2E75B6"/>
          <w:sz w:val="28"/>
          <w:szCs w:val="28"/>
        </w:rPr>
        <w:t xml:space="preserve"> Ratios</w:t>
      </w:r>
      <w:bookmarkEnd w:id="5"/>
    </w:p>
    <w:p w14:paraId="784FD84A" w14:textId="77777777" w:rsidR="00A0068D" w:rsidRPr="00AA4851" w:rsidRDefault="00A0068D" w:rsidP="00AA4851">
      <w:pPr>
        <w:spacing w:after="160" w:line="360" w:lineRule="auto"/>
        <w:jc w:val="both"/>
      </w:pPr>
    </w:p>
    <w:p w14:paraId="695F5707" w14:textId="4552E946" w:rsidR="00976955" w:rsidRPr="00976955" w:rsidRDefault="00976955" w:rsidP="00976955">
      <w:pPr>
        <w:pStyle w:val="Caption"/>
        <w:keepNext/>
        <w:jc w:val="center"/>
        <w:rPr>
          <w:sz w:val="24"/>
          <w:szCs w:val="24"/>
        </w:rPr>
      </w:pPr>
      <w:bookmarkStart w:id="6" w:name="_Toc229826575"/>
      <w:r w:rsidRPr="00976955">
        <w:rPr>
          <w:sz w:val="24"/>
          <w:szCs w:val="24"/>
        </w:rPr>
        <w:t xml:space="preserve">Table </w:t>
      </w:r>
      <w:r w:rsidRPr="00976955">
        <w:rPr>
          <w:sz w:val="24"/>
          <w:szCs w:val="24"/>
        </w:rPr>
        <w:fldChar w:fldCharType="begin"/>
      </w:r>
      <w:r w:rsidRPr="00976955">
        <w:rPr>
          <w:sz w:val="24"/>
          <w:szCs w:val="24"/>
        </w:rPr>
        <w:instrText xml:space="preserve"> SEQ Table \* ARABIC </w:instrText>
      </w:r>
      <w:r w:rsidRPr="00976955">
        <w:rPr>
          <w:sz w:val="24"/>
          <w:szCs w:val="24"/>
        </w:rPr>
        <w:fldChar w:fldCharType="separate"/>
      </w:r>
      <w:r w:rsidRPr="00976955">
        <w:rPr>
          <w:noProof/>
          <w:sz w:val="24"/>
          <w:szCs w:val="24"/>
        </w:rPr>
        <w:t>1</w:t>
      </w:r>
      <w:r w:rsidRPr="00976955">
        <w:rPr>
          <w:sz w:val="24"/>
          <w:szCs w:val="24"/>
        </w:rPr>
        <w:fldChar w:fldCharType="end"/>
      </w:r>
      <w:r w:rsidRPr="00976955">
        <w:rPr>
          <w:sz w:val="24"/>
          <w:szCs w:val="24"/>
        </w:rPr>
        <w:t xml:space="preserve">  Liquidity Ratios</w:t>
      </w:r>
      <w:bookmarkEnd w:id="6"/>
    </w:p>
    <w:tbl>
      <w:tblPr>
        <w:tblW w:w="10120" w:type="dxa"/>
        <w:jc w:val="center"/>
        <w:tblLook w:val="04A0" w:firstRow="1" w:lastRow="0" w:firstColumn="1" w:lastColumn="0" w:noHBand="0" w:noVBand="1"/>
      </w:tblPr>
      <w:tblGrid>
        <w:gridCol w:w="3740"/>
        <w:gridCol w:w="1540"/>
        <w:gridCol w:w="1540"/>
        <w:gridCol w:w="1540"/>
        <w:gridCol w:w="1760"/>
      </w:tblGrid>
      <w:tr w:rsidR="00941222" w:rsidRPr="00AA4851" w14:paraId="42DCC1FA" w14:textId="77777777" w:rsidTr="00941222">
        <w:trPr>
          <w:trHeight w:val="480"/>
          <w:jc w:val="center"/>
        </w:trPr>
        <w:tc>
          <w:tcPr>
            <w:tcW w:w="3740" w:type="dxa"/>
            <w:tcBorders>
              <w:top w:val="single" w:sz="4" w:space="0" w:color="AAAAAA"/>
              <w:left w:val="single" w:sz="4" w:space="0" w:color="AAAAAA"/>
              <w:bottom w:val="single" w:sz="4" w:space="0" w:color="AAAAAA"/>
              <w:right w:val="single" w:sz="4" w:space="0" w:color="AAAAAA"/>
            </w:tcBorders>
            <w:shd w:val="clear" w:color="4F81BD" w:fill="2E75B6"/>
            <w:vAlign w:val="center"/>
            <w:hideMark/>
          </w:tcPr>
          <w:p w14:paraId="3B0D7A5B" w14:textId="77777777" w:rsidR="00941222" w:rsidRPr="00AA4851" w:rsidRDefault="00941222" w:rsidP="00AA4851">
            <w:pPr>
              <w:spacing w:line="360" w:lineRule="auto"/>
              <w:jc w:val="both"/>
              <w:rPr>
                <w:b/>
                <w:bCs/>
                <w:color w:val="FFFFFF"/>
                <w:sz w:val="22"/>
                <w:szCs w:val="22"/>
              </w:rPr>
            </w:pPr>
            <w:r>
              <w:rPr>
                <w:b/>
                <w:bCs/>
                <w:color w:val="FFFFFF"/>
                <w:sz w:val="22"/>
                <w:szCs w:val="22"/>
              </w:rPr>
              <w:t>Ratio</w:t>
            </w:r>
          </w:p>
        </w:tc>
        <w:tc>
          <w:tcPr>
            <w:tcW w:w="1540" w:type="dxa"/>
            <w:tcBorders>
              <w:top w:val="single" w:sz="4" w:space="0" w:color="AAAAAA"/>
              <w:left w:val="nil"/>
              <w:bottom w:val="single" w:sz="4" w:space="0" w:color="AAAAAA"/>
              <w:right w:val="single" w:sz="4" w:space="0" w:color="AAAAAA"/>
            </w:tcBorders>
            <w:shd w:val="clear" w:color="4F81BD" w:fill="2E75B6"/>
            <w:vAlign w:val="center"/>
            <w:hideMark/>
          </w:tcPr>
          <w:p w14:paraId="0F1BC576" w14:textId="77777777" w:rsidR="00941222" w:rsidRPr="00AA4851" w:rsidRDefault="00941222" w:rsidP="00AA4851">
            <w:pPr>
              <w:spacing w:line="360" w:lineRule="auto"/>
              <w:jc w:val="both"/>
              <w:rPr>
                <w:b/>
                <w:bCs/>
                <w:color w:val="FFFFFF"/>
                <w:sz w:val="22"/>
                <w:szCs w:val="22"/>
              </w:rPr>
            </w:pPr>
            <w:r>
              <w:rPr>
                <w:b/>
                <w:bCs/>
                <w:color w:val="FFFFFF"/>
                <w:sz w:val="22"/>
                <w:szCs w:val="22"/>
              </w:rPr>
              <w:t>ENGRO 2023</w:t>
            </w:r>
          </w:p>
        </w:tc>
        <w:tc>
          <w:tcPr>
            <w:tcW w:w="1540" w:type="dxa"/>
            <w:tcBorders>
              <w:top w:val="single" w:sz="4" w:space="0" w:color="AAAAAA"/>
              <w:left w:val="nil"/>
              <w:bottom w:val="single" w:sz="4" w:space="0" w:color="AAAAAA"/>
              <w:right w:val="single" w:sz="4" w:space="0" w:color="AAAAAA"/>
            </w:tcBorders>
            <w:shd w:val="clear" w:color="4F81BD" w:fill="2E75B6"/>
            <w:vAlign w:val="center"/>
            <w:hideMark/>
          </w:tcPr>
          <w:p w14:paraId="3772EF86" w14:textId="77777777" w:rsidR="00941222" w:rsidRPr="00AA4851" w:rsidRDefault="00941222" w:rsidP="00AA4851">
            <w:pPr>
              <w:spacing w:line="360" w:lineRule="auto"/>
              <w:jc w:val="both"/>
              <w:rPr>
                <w:b/>
                <w:bCs/>
                <w:color w:val="FFFFFF"/>
                <w:sz w:val="22"/>
                <w:szCs w:val="22"/>
              </w:rPr>
            </w:pPr>
            <w:r>
              <w:rPr>
                <w:b/>
                <w:bCs/>
                <w:color w:val="FFFFFF"/>
                <w:sz w:val="22"/>
                <w:szCs w:val="22"/>
              </w:rPr>
              <w:t>ENGRO 2024</w:t>
            </w:r>
          </w:p>
        </w:tc>
        <w:tc>
          <w:tcPr>
            <w:tcW w:w="1540" w:type="dxa"/>
            <w:tcBorders>
              <w:top w:val="single" w:sz="4" w:space="0" w:color="AAAAAA"/>
              <w:left w:val="nil"/>
              <w:bottom w:val="single" w:sz="4" w:space="0" w:color="AAAAAA"/>
              <w:right w:val="single" w:sz="4" w:space="0" w:color="AAAAAA"/>
            </w:tcBorders>
            <w:shd w:val="clear" w:color="4F81BD" w:fill="2E75B6"/>
            <w:vAlign w:val="center"/>
            <w:hideMark/>
          </w:tcPr>
          <w:p w14:paraId="4F5BAF3C" w14:textId="77777777" w:rsidR="00941222" w:rsidRPr="00AA4851" w:rsidRDefault="00941222" w:rsidP="00AA4851">
            <w:pPr>
              <w:spacing w:line="360" w:lineRule="auto"/>
              <w:jc w:val="both"/>
              <w:rPr>
                <w:b/>
                <w:bCs/>
                <w:color w:val="FFFFFF"/>
                <w:sz w:val="22"/>
                <w:szCs w:val="22"/>
              </w:rPr>
            </w:pPr>
            <w:r>
              <w:rPr>
                <w:b/>
                <w:bCs/>
                <w:color w:val="FFFFFF"/>
                <w:sz w:val="22"/>
                <w:szCs w:val="22"/>
              </w:rPr>
              <w:t>ENGRO 2025</w:t>
            </w:r>
          </w:p>
        </w:tc>
        <w:tc>
          <w:tcPr>
            <w:tcW w:w="1760" w:type="dxa"/>
            <w:tcBorders>
              <w:top w:val="single" w:sz="4" w:space="0" w:color="AAAAAA"/>
              <w:left w:val="nil"/>
              <w:bottom w:val="single" w:sz="4" w:space="0" w:color="AAAAAA"/>
              <w:right w:val="single" w:sz="4" w:space="0" w:color="AAAAAA"/>
            </w:tcBorders>
            <w:shd w:val="clear" w:color="4F81BD" w:fill="2E75B6"/>
            <w:vAlign w:val="center"/>
            <w:hideMark/>
          </w:tcPr>
          <w:p w14:paraId="0B5E7C8C" w14:textId="77777777" w:rsidR="00941222" w:rsidRPr="00AA4851" w:rsidRDefault="00941222" w:rsidP="00AA4851">
            <w:pPr>
              <w:spacing w:line="360" w:lineRule="auto"/>
              <w:jc w:val="both"/>
              <w:rPr>
                <w:b/>
                <w:bCs/>
                <w:color w:val="FFFFFF"/>
                <w:sz w:val="22"/>
                <w:szCs w:val="22"/>
              </w:rPr>
            </w:pPr>
            <w:r>
              <w:rPr>
                <w:b/>
                <w:bCs/>
                <w:color w:val="FFFFFF"/>
                <w:sz w:val="22"/>
                <w:szCs w:val="22"/>
              </w:rPr>
              <w:t>FFC 2025</w:t>
            </w:r>
          </w:p>
        </w:tc>
      </w:tr>
      <w:tr w:rsidR="00941222" w:rsidRPr="00AA4851" w14:paraId="6EEC893E" w14:textId="77777777" w:rsidTr="00941222">
        <w:trPr>
          <w:trHeight w:val="390"/>
          <w:jc w:val="center"/>
        </w:trPr>
        <w:tc>
          <w:tcPr>
            <w:tcW w:w="10120" w:type="dxa"/>
            <w:gridSpan w:val="5"/>
            <w:tcBorders>
              <w:top w:val="single" w:sz="4" w:space="0" w:color="AAAAAA"/>
              <w:left w:val="single" w:sz="4" w:space="0" w:color="AAAAAA"/>
              <w:bottom w:val="single" w:sz="4" w:space="0" w:color="AAAAAA"/>
              <w:right w:val="nil"/>
            </w:tcBorders>
            <w:shd w:val="clear" w:color="D0E8F5" w:fill="BDD7EE"/>
            <w:noWrap/>
            <w:vAlign w:val="center"/>
            <w:hideMark/>
          </w:tcPr>
          <w:p w14:paraId="2A0A79B9" w14:textId="77777777" w:rsidR="00941222" w:rsidRPr="00AA4851" w:rsidRDefault="00941222" w:rsidP="00AA4851">
            <w:pPr>
              <w:spacing w:line="360" w:lineRule="auto"/>
              <w:ind w:firstLineChars="100" w:firstLine="201"/>
              <w:jc w:val="both"/>
              <w:rPr>
                <w:b/>
                <w:bCs/>
                <w:color w:val="1F4E79"/>
                <w:sz w:val="20"/>
                <w:szCs w:val="20"/>
              </w:rPr>
            </w:pPr>
            <w:r>
              <w:rPr>
                <w:b/>
                <w:bCs/>
                <w:color w:val="1F4E79"/>
                <w:sz w:val="20"/>
                <w:szCs w:val="20"/>
              </w:rPr>
              <w:t>A. LIQUIDITY RATIOS</w:t>
            </w:r>
          </w:p>
        </w:tc>
      </w:tr>
      <w:tr w:rsidR="00941222" w:rsidRPr="00AA4851" w14:paraId="2C3FC2A1"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035A03F7"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Current Ratio</w:t>
            </w:r>
          </w:p>
        </w:tc>
        <w:tc>
          <w:tcPr>
            <w:tcW w:w="1540" w:type="dxa"/>
            <w:tcBorders>
              <w:top w:val="nil"/>
              <w:left w:val="nil"/>
              <w:bottom w:val="single" w:sz="4" w:space="0" w:color="AAAAAA"/>
              <w:right w:val="single" w:sz="4" w:space="0" w:color="AAAAAA"/>
            </w:tcBorders>
            <w:noWrap/>
            <w:vAlign w:val="center"/>
            <w:hideMark/>
          </w:tcPr>
          <w:p w14:paraId="2F56D8B3" w14:textId="77777777" w:rsidR="00941222" w:rsidRPr="00AA4851" w:rsidRDefault="00941222" w:rsidP="00AA4851">
            <w:pPr>
              <w:spacing w:line="360" w:lineRule="auto"/>
              <w:jc w:val="both"/>
              <w:rPr>
                <w:color w:val="008000"/>
                <w:sz w:val="20"/>
                <w:szCs w:val="20"/>
              </w:rPr>
            </w:pPr>
            <w:r>
              <w:rPr>
                <w:color w:val="008000"/>
                <w:sz w:val="20"/>
                <w:szCs w:val="20"/>
              </w:rPr>
              <w:t>0.78</w:t>
            </w:r>
          </w:p>
        </w:tc>
        <w:tc>
          <w:tcPr>
            <w:tcW w:w="1540" w:type="dxa"/>
            <w:tcBorders>
              <w:top w:val="nil"/>
              <w:left w:val="nil"/>
              <w:bottom w:val="single" w:sz="4" w:space="0" w:color="AAAAAA"/>
              <w:right w:val="single" w:sz="4" w:space="0" w:color="AAAAAA"/>
            </w:tcBorders>
            <w:noWrap/>
            <w:vAlign w:val="center"/>
            <w:hideMark/>
          </w:tcPr>
          <w:p w14:paraId="31C406D2" w14:textId="77777777" w:rsidR="00941222" w:rsidRPr="00AA4851" w:rsidRDefault="00941222" w:rsidP="00AA4851">
            <w:pPr>
              <w:spacing w:line="360" w:lineRule="auto"/>
              <w:jc w:val="both"/>
              <w:rPr>
                <w:color w:val="008000"/>
                <w:sz w:val="20"/>
                <w:szCs w:val="20"/>
              </w:rPr>
            </w:pPr>
            <w:r>
              <w:rPr>
                <w:color w:val="008000"/>
                <w:sz w:val="20"/>
                <w:szCs w:val="20"/>
              </w:rPr>
              <w:t>0.76</w:t>
            </w:r>
          </w:p>
        </w:tc>
        <w:tc>
          <w:tcPr>
            <w:tcW w:w="1540" w:type="dxa"/>
            <w:tcBorders>
              <w:top w:val="nil"/>
              <w:left w:val="nil"/>
              <w:bottom w:val="single" w:sz="4" w:space="0" w:color="AAAAAA"/>
              <w:right w:val="single" w:sz="4" w:space="0" w:color="AAAAAA"/>
            </w:tcBorders>
            <w:noWrap/>
            <w:vAlign w:val="center"/>
            <w:hideMark/>
          </w:tcPr>
          <w:p w14:paraId="48467E2E" w14:textId="77777777" w:rsidR="00941222" w:rsidRPr="00AA4851" w:rsidRDefault="00941222" w:rsidP="00AA4851">
            <w:pPr>
              <w:spacing w:line="360" w:lineRule="auto"/>
              <w:jc w:val="both"/>
              <w:rPr>
                <w:color w:val="008000"/>
                <w:sz w:val="20"/>
                <w:szCs w:val="20"/>
              </w:rPr>
            </w:pPr>
            <w:r>
              <w:rPr>
                <w:color w:val="008000"/>
                <w:sz w:val="20"/>
                <w:szCs w:val="20"/>
              </w:rPr>
              <w:t>0.77</w:t>
            </w:r>
          </w:p>
        </w:tc>
        <w:tc>
          <w:tcPr>
            <w:tcW w:w="1760" w:type="dxa"/>
            <w:tcBorders>
              <w:top w:val="nil"/>
              <w:left w:val="nil"/>
              <w:bottom w:val="single" w:sz="4" w:space="0" w:color="AAAAAA"/>
              <w:right w:val="single" w:sz="4" w:space="0" w:color="AAAAAA"/>
            </w:tcBorders>
            <w:shd w:val="clear" w:color="F2F7FF" w:fill="EEF4FF"/>
            <w:noWrap/>
            <w:vAlign w:val="center"/>
            <w:hideMark/>
          </w:tcPr>
          <w:p w14:paraId="53638706" w14:textId="77777777" w:rsidR="00941222" w:rsidRPr="00AA4851" w:rsidRDefault="00941222" w:rsidP="00AA4851">
            <w:pPr>
              <w:spacing w:line="360" w:lineRule="auto"/>
              <w:jc w:val="both"/>
              <w:rPr>
                <w:color w:val="0000FF"/>
                <w:sz w:val="20"/>
                <w:szCs w:val="20"/>
              </w:rPr>
            </w:pPr>
            <w:r>
              <w:rPr>
                <w:color w:val="0000FF"/>
                <w:sz w:val="20"/>
                <w:szCs w:val="20"/>
              </w:rPr>
              <w:t>1.27</w:t>
            </w:r>
          </w:p>
        </w:tc>
      </w:tr>
      <w:tr w:rsidR="00941222" w:rsidRPr="00AA4851" w14:paraId="6F86DA6F"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251A5EFA"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Acid Test (Quick) Ratio</w:t>
            </w:r>
          </w:p>
        </w:tc>
        <w:tc>
          <w:tcPr>
            <w:tcW w:w="1540" w:type="dxa"/>
            <w:tcBorders>
              <w:top w:val="nil"/>
              <w:left w:val="nil"/>
              <w:bottom w:val="single" w:sz="4" w:space="0" w:color="AAAAAA"/>
              <w:right w:val="single" w:sz="4" w:space="0" w:color="AAAAAA"/>
            </w:tcBorders>
            <w:noWrap/>
            <w:vAlign w:val="center"/>
            <w:hideMark/>
          </w:tcPr>
          <w:p w14:paraId="7FBA510B" w14:textId="77777777" w:rsidR="00941222" w:rsidRPr="00AA4851" w:rsidRDefault="00941222" w:rsidP="00AA4851">
            <w:pPr>
              <w:spacing w:line="360" w:lineRule="auto"/>
              <w:jc w:val="both"/>
              <w:rPr>
                <w:color w:val="008000"/>
                <w:sz w:val="20"/>
                <w:szCs w:val="20"/>
              </w:rPr>
            </w:pPr>
            <w:r>
              <w:rPr>
                <w:color w:val="008000"/>
                <w:sz w:val="20"/>
                <w:szCs w:val="20"/>
              </w:rPr>
              <w:t>0.63</w:t>
            </w:r>
          </w:p>
        </w:tc>
        <w:tc>
          <w:tcPr>
            <w:tcW w:w="1540" w:type="dxa"/>
            <w:tcBorders>
              <w:top w:val="nil"/>
              <w:left w:val="nil"/>
              <w:bottom w:val="single" w:sz="4" w:space="0" w:color="AAAAAA"/>
              <w:right w:val="single" w:sz="4" w:space="0" w:color="AAAAAA"/>
            </w:tcBorders>
            <w:noWrap/>
            <w:vAlign w:val="center"/>
            <w:hideMark/>
          </w:tcPr>
          <w:p w14:paraId="29C403FD" w14:textId="77777777" w:rsidR="00941222" w:rsidRPr="00AA4851" w:rsidRDefault="00941222" w:rsidP="00AA4851">
            <w:pPr>
              <w:spacing w:line="360" w:lineRule="auto"/>
              <w:jc w:val="both"/>
              <w:rPr>
                <w:color w:val="008000"/>
                <w:sz w:val="20"/>
                <w:szCs w:val="20"/>
              </w:rPr>
            </w:pPr>
            <w:r>
              <w:rPr>
                <w:color w:val="008000"/>
                <w:sz w:val="20"/>
                <w:szCs w:val="20"/>
              </w:rPr>
              <w:t>0.50</w:t>
            </w:r>
          </w:p>
        </w:tc>
        <w:tc>
          <w:tcPr>
            <w:tcW w:w="1540" w:type="dxa"/>
            <w:tcBorders>
              <w:top w:val="nil"/>
              <w:left w:val="nil"/>
              <w:bottom w:val="single" w:sz="4" w:space="0" w:color="AAAAAA"/>
              <w:right w:val="single" w:sz="4" w:space="0" w:color="AAAAAA"/>
            </w:tcBorders>
            <w:noWrap/>
            <w:vAlign w:val="center"/>
            <w:hideMark/>
          </w:tcPr>
          <w:p w14:paraId="5FD9D773" w14:textId="77777777" w:rsidR="00941222" w:rsidRPr="00AA4851" w:rsidRDefault="00941222" w:rsidP="00AA4851">
            <w:pPr>
              <w:spacing w:line="360" w:lineRule="auto"/>
              <w:jc w:val="both"/>
              <w:rPr>
                <w:color w:val="008000"/>
                <w:sz w:val="20"/>
                <w:szCs w:val="20"/>
              </w:rPr>
            </w:pPr>
            <w:r>
              <w:rPr>
                <w:color w:val="008000"/>
                <w:sz w:val="20"/>
                <w:szCs w:val="20"/>
              </w:rPr>
              <w:t>0.56</w:t>
            </w:r>
          </w:p>
        </w:tc>
        <w:tc>
          <w:tcPr>
            <w:tcW w:w="1760" w:type="dxa"/>
            <w:tcBorders>
              <w:top w:val="nil"/>
              <w:left w:val="nil"/>
              <w:bottom w:val="single" w:sz="4" w:space="0" w:color="AAAAAA"/>
              <w:right w:val="single" w:sz="4" w:space="0" w:color="AAAAAA"/>
            </w:tcBorders>
            <w:shd w:val="clear" w:color="F2F7FF" w:fill="EEF4FF"/>
            <w:noWrap/>
            <w:vAlign w:val="center"/>
            <w:hideMark/>
          </w:tcPr>
          <w:p w14:paraId="432B4F1D" w14:textId="77777777" w:rsidR="00941222" w:rsidRPr="00AA4851" w:rsidRDefault="00941222" w:rsidP="00AA4851">
            <w:pPr>
              <w:spacing w:line="360" w:lineRule="auto"/>
              <w:jc w:val="both"/>
              <w:rPr>
                <w:color w:val="0000FF"/>
                <w:sz w:val="20"/>
                <w:szCs w:val="20"/>
              </w:rPr>
            </w:pPr>
            <w:r>
              <w:rPr>
                <w:color w:val="0000FF"/>
                <w:sz w:val="20"/>
                <w:szCs w:val="20"/>
              </w:rPr>
              <w:t>1.10</w:t>
            </w:r>
          </w:p>
        </w:tc>
      </w:tr>
    </w:tbl>
    <w:p w14:paraId="639CBE04" w14:textId="77777777" w:rsidR="00941222" w:rsidRPr="00AA4851" w:rsidRDefault="00941222" w:rsidP="00AA4851">
      <w:pPr>
        <w:spacing w:before="60" w:after="160" w:line="360" w:lineRule="auto"/>
        <w:jc w:val="both"/>
        <w:rPr>
          <w:i/>
          <w:iCs/>
          <w:color w:val="595959"/>
          <w:sz w:val="20"/>
          <w:szCs w:val="20"/>
        </w:rPr>
      </w:pPr>
    </w:p>
    <w:p w14:paraId="505B5190" w14:textId="17B87709" w:rsidR="00F60791" w:rsidRPr="00AA4851" w:rsidRDefault="00976955" w:rsidP="00AA4851">
      <w:pPr>
        <w:spacing w:before="60" w:after="240" w:line="360" w:lineRule="auto"/>
        <w:jc w:val="both"/>
        <w:rPr>
          <w:rFonts w:eastAsia="Arial"/>
          <w:i/>
          <w:iCs/>
          <w:sz w:val="20"/>
          <w:szCs w:val="20"/>
        </w:rPr>
      </w:pPr>
      <w:r>
        <w:rPr>
          <w:noProof/>
        </w:rPr>
        <mc:AlternateContent>
          <mc:Choice Requires="wps">
            <w:drawing>
              <wp:anchor distT="0" distB="0" distL="114300" distR="114300" simplePos="0" relativeHeight="251663360" behindDoc="0" locked="0" layoutInCell="1" allowOverlap="1" wp14:anchorId="2D88110B" wp14:editId="48225723">
                <wp:simplePos x="0" y="0"/>
                <wp:positionH relativeFrom="column">
                  <wp:posOffset>1028700</wp:posOffset>
                </wp:positionH>
                <wp:positionV relativeFrom="paragraph">
                  <wp:posOffset>2418080</wp:posOffset>
                </wp:positionV>
                <wp:extent cx="3886200" cy="635"/>
                <wp:effectExtent l="0" t="0" r="0" b="0"/>
                <wp:wrapTopAndBottom/>
                <wp:docPr id="692176245" name="Text Box 1"/>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wps:spPr>
                      <wps:txbx>
                        <w:txbxContent>
                          <w:p w14:paraId="61DF2FD0" w14:textId="007834F5" w:rsidR="00976955" w:rsidRPr="00976955" w:rsidRDefault="00976955" w:rsidP="00976955">
                            <w:pPr>
                              <w:pStyle w:val="Caption"/>
                              <w:jc w:val="center"/>
                              <w:rPr>
                                <w:rFonts w:eastAsia="Arial"/>
                                <w:noProof/>
                                <w:color w:val="2E75B6"/>
                                <w:sz w:val="24"/>
                                <w:szCs w:val="24"/>
                              </w:rPr>
                            </w:pPr>
                            <w:bookmarkStart w:id="7" w:name="_Toc229826412"/>
                            <w:bookmarkStart w:id="8" w:name="_Toc229826427"/>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Pr>
                                <w:noProof/>
                                <w:sz w:val="24"/>
                                <w:szCs w:val="24"/>
                              </w:rPr>
                              <w:t>1</w:t>
                            </w:r>
                            <w:r w:rsidRPr="00976955">
                              <w:rPr>
                                <w:sz w:val="24"/>
                                <w:szCs w:val="24"/>
                              </w:rPr>
                              <w:fldChar w:fldCharType="end"/>
                            </w:r>
                            <w:r w:rsidRPr="00976955">
                              <w:rPr>
                                <w:sz w:val="24"/>
                                <w:szCs w:val="24"/>
                              </w:rPr>
                              <w:t xml:space="preserve"> Liquidity Ratios</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88110B" id="_x0000_t202" coordsize="21600,21600" o:spt="202" path="m,l,21600r21600,l21600,xe">
                <v:stroke joinstyle="miter"/>
                <v:path gradientshapeok="t" o:connecttype="rect"/>
              </v:shapetype>
              <v:shape id="Text Box 1" o:spid="_x0000_s1026" type="#_x0000_t202" style="position:absolute;left:0;text-align:left;margin-left:81pt;margin-top:190.4pt;width:30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kQeFQIAADgEAAAOAAAAZHJzL2Uyb0RvYy54bWysU8Fu2zAMvQ/YPwi6L05aL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" stroked="f">
                <v:textbox style="mso-fit-shape-to-text:t" inset="0,0,0,0">
                  <w:txbxContent>
                    <w:p w14:paraId="61DF2FD0" w14:textId="007834F5" w:rsidR="00976955" w:rsidRPr="00976955" w:rsidRDefault="00976955" w:rsidP="00976955">
                      <w:pPr>
                        <w:pStyle w:val="Caption"/>
                        <w:jc w:val="center"/>
                        <w:rPr>
                          <w:rFonts w:eastAsia="Arial"/>
                          <w:noProof/>
                          <w:color w:val="2E75B6"/>
                          <w:sz w:val="24"/>
                          <w:szCs w:val="24"/>
                        </w:rPr>
                      </w:pPr>
                      <w:bookmarkStart w:id="9" w:name="_Toc229826412"/>
                      <w:bookmarkStart w:id="10" w:name="_Toc229826427"/>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Pr>
                          <w:noProof/>
                          <w:sz w:val="24"/>
                          <w:szCs w:val="24"/>
                        </w:rPr>
                        <w:t>1</w:t>
                      </w:r>
                      <w:r w:rsidRPr="00976955">
                        <w:rPr>
                          <w:sz w:val="24"/>
                          <w:szCs w:val="24"/>
                        </w:rPr>
                        <w:fldChar w:fldCharType="end"/>
                      </w:r>
                      <w:r w:rsidRPr="00976955">
                        <w:rPr>
                          <w:sz w:val="24"/>
                          <w:szCs w:val="24"/>
                        </w:rPr>
                        <w:t xml:space="preserve"> Liquidity Ratios</w:t>
                      </w:r>
                      <w:bookmarkEnd w:id="9"/>
                      <w:bookmarkEnd w:id="10"/>
                    </w:p>
                  </w:txbxContent>
                </v:textbox>
                <w10:wrap type="topAndBottom"/>
              </v:shape>
            </w:pict>
          </mc:Fallback>
        </mc:AlternateContent>
      </w:r>
      <w:r w:rsidR="00B72638">
        <w:rPr>
          <w:rFonts w:eastAsia="Arial"/>
          <w:i/>
          <w:iCs/>
          <w:noProof/>
          <w:color w:val="2E75B6"/>
          <w:sz w:val="20"/>
          <w:szCs w:val="20"/>
        </w:rPr>
        <w:drawing>
          <wp:anchor distT="0" distB="0" distL="114300" distR="114300" simplePos="0" relativeHeight="251658240" behindDoc="0" locked="0" layoutInCell="1" allowOverlap="1" wp14:anchorId="0FDE2701" wp14:editId="7F8F530A">
            <wp:simplePos x="0" y="0"/>
            <wp:positionH relativeFrom="column">
              <wp:posOffset>1028700</wp:posOffset>
            </wp:positionH>
            <wp:positionV relativeFrom="paragraph">
              <wp:posOffset>-1270</wp:posOffset>
            </wp:positionV>
            <wp:extent cx="3886400" cy="2362321"/>
            <wp:effectExtent l="0" t="0" r="0" b="0"/>
            <wp:wrapTopAndBottom/>
            <wp:docPr id="156263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35614" name=""/>
                    <pic:cNvPicPr/>
                  </pic:nvPicPr>
                  <pic:blipFill>
                    <a:blip r:embed="rId9">
                      <a:extLst>
                        <a:ext uri="{28A0092B-C50C-407E-A947-70E740481C1C}">
                          <a14:useLocalDpi xmlns:a14="http://schemas.microsoft.com/office/drawing/2010/main" val="0"/>
                        </a:ext>
                      </a:extLst>
                    </a:blip>
                    <a:stretch>
                      <a:fillRect/>
                    </a:stretch>
                  </pic:blipFill>
                  <pic:spPr>
                    <a:xfrm>
                      <a:off x="0" y="0"/>
                      <a:ext cx="3886400" cy="2362321"/>
                    </a:xfrm>
                    <a:prstGeom prst="rect">
                      <a:avLst/>
                    </a:prstGeom>
                  </pic:spPr>
                </pic:pic>
              </a:graphicData>
            </a:graphic>
          </wp:anchor>
        </w:drawing>
      </w:r>
    </w:p>
    <w:p w14:paraId="3ECAF771" w14:textId="04823E8A" w:rsidR="00A0068D" w:rsidRPr="00A41412" w:rsidRDefault="00A0068D" w:rsidP="00A41412">
      <w:pPr>
        <w:pStyle w:val="Heading2"/>
        <w:spacing w:line="360" w:lineRule="auto"/>
        <w:jc w:val="both"/>
        <w:rPr>
          <w:sz w:val="28"/>
          <w:szCs w:val="28"/>
        </w:rPr>
      </w:pPr>
      <w:bookmarkStart w:id="11" w:name="_Toc229914485"/>
      <w:r>
        <w:rPr>
          <w:rFonts w:eastAsia="Arial"/>
          <w:sz w:val="28"/>
          <w:szCs w:val="28"/>
        </w:rPr>
        <w:t>Interpretation</w:t>
      </w:r>
      <w:r w:rsidR="00A41412">
        <w:rPr>
          <w:sz w:val="28"/>
          <w:szCs w:val="28"/>
        </w:rPr>
        <w:br/>
      </w:r>
      <w:r w:rsidR="00232888">
        <w:rPr>
          <w:color w:val="000000"/>
          <w:sz w:val="24"/>
          <w:szCs w:val="24"/>
        </w:rPr>
        <w:t xml:space="preserve">EFERT's current ratio stayed below 1.0 in all three years (0.78, 0.76, 0.77) mainly because of a PKR 19,558 million GIDC provision in current liabilities that is stuck in court. If we remove this amount, the 2025 ratio adjusts to 0.93, which is more realistic. FFC's higher ratios of 1.27 and 1.10 </w:t>
      </w:r>
      <w:r w:rsidR="00232888">
        <w:rPr>
          <w:color w:val="000000"/>
          <w:sz w:val="24"/>
          <w:szCs w:val="24"/>
        </w:rPr>
        <w:lastRenderedPageBreak/>
        <w:t>are mostly because it holds PKR 199,034 million in short-term investments.</w:t>
      </w:r>
      <w:r w:rsidR="00232888">
        <w:rPr>
          <w:color w:val="000000"/>
          <w:sz w:val="24"/>
          <w:szCs w:val="24"/>
        </w:rPr>
        <w:br/>
      </w:r>
      <w:r w:rsidR="00232888">
        <w:rPr>
          <w:rFonts w:eastAsia="Arial"/>
          <w:b/>
          <w:bCs/>
          <w:color w:val="2E75B6"/>
          <w:sz w:val="28"/>
          <w:szCs w:val="28"/>
        </w:rPr>
        <w:t>2.</w:t>
      </w:r>
      <w:proofErr w:type="gramStart"/>
      <w:r w:rsidR="00232888">
        <w:rPr>
          <w:rFonts w:eastAsia="Arial"/>
          <w:b/>
          <w:bCs/>
          <w:color w:val="2E75B6"/>
          <w:sz w:val="28"/>
          <w:szCs w:val="28"/>
        </w:rPr>
        <w:t>3  Leverage</w:t>
      </w:r>
      <w:proofErr w:type="gramEnd"/>
      <w:r w:rsidR="00232888">
        <w:rPr>
          <w:rFonts w:eastAsia="Arial"/>
          <w:b/>
          <w:bCs/>
          <w:color w:val="2E75B6"/>
          <w:sz w:val="28"/>
          <w:szCs w:val="28"/>
        </w:rPr>
        <w:t xml:space="preserve"> / Debt Ratios</w:t>
      </w:r>
      <w:bookmarkEnd w:id="11"/>
    </w:p>
    <w:p w14:paraId="3A03CC8C" w14:textId="77777777" w:rsidR="00A0068D" w:rsidRPr="00AA4851" w:rsidRDefault="00A0068D" w:rsidP="00AA4851">
      <w:pPr>
        <w:spacing w:before="80" w:after="80" w:line="360" w:lineRule="auto"/>
        <w:jc w:val="both"/>
      </w:pPr>
    </w:p>
    <w:p w14:paraId="3F12FF9B" w14:textId="7E1D02EB" w:rsidR="00F60791" w:rsidRPr="00AA4851" w:rsidRDefault="00F60791" w:rsidP="00AA4851">
      <w:pPr>
        <w:spacing w:before="240" w:after="80" w:line="360" w:lineRule="auto"/>
        <w:jc w:val="both"/>
      </w:pPr>
    </w:p>
    <w:p w14:paraId="14B1CA81" w14:textId="6870694C" w:rsidR="00976955" w:rsidRPr="00976955" w:rsidRDefault="00976955" w:rsidP="00976955">
      <w:pPr>
        <w:pStyle w:val="Caption"/>
        <w:keepNext/>
        <w:jc w:val="center"/>
        <w:rPr>
          <w:sz w:val="24"/>
          <w:szCs w:val="24"/>
        </w:rPr>
      </w:pPr>
      <w:bookmarkStart w:id="12" w:name="_Toc229826576"/>
      <w:r w:rsidRPr="00976955">
        <w:rPr>
          <w:sz w:val="24"/>
          <w:szCs w:val="24"/>
        </w:rPr>
        <w:t xml:space="preserve">Table </w:t>
      </w:r>
      <w:r w:rsidRPr="00976955">
        <w:rPr>
          <w:sz w:val="24"/>
          <w:szCs w:val="24"/>
        </w:rPr>
        <w:fldChar w:fldCharType="begin"/>
      </w:r>
      <w:r w:rsidRPr="00976955">
        <w:rPr>
          <w:sz w:val="24"/>
          <w:szCs w:val="24"/>
        </w:rPr>
        <w:instrText xml:space="preserve"> SEQ Table \* ARABIC </w:instrText>
      </w:r>
      <w:r w:rsidRPr="00976955">
        <w:rPr>
          <w:sz w:val="24"/>
          <w:szCs w:val="24"/>
        </w:rPr>
        <w:fldChar w:fldCharType="separate"/>
      </w:r>
      <w:r w:rsidRPr="00976955">
        <w:rPr>
          <w:sz w:val="24"/>
          <w:szCs w:val="24"/>
        </w:rPr>
        <w:t>2</w:t>
      </w:r>
      <w:r w:rsidRPr="00976955">
        <w:rPr>
          <w:sz w:val="24"/>
          <w:szCs w:val="24"/>
        </w:rPr>
        <w:fldChar w:fldCharType="end"/>
      </w:r>
      <w:r w:rsidRPr="00976955">
        <w:rPr>
          <w:sz w:val="24"/>
          <w:szCs w:val="24"/>
        </w:rPr>
        <w:t xml:space="preserve"> Financial leverage / Debt Ratios</w:t>
      </w:r>
      <w:bookmarkEnd w:id="12"/>
    </w:p>
    <w:tbl>
      <w:tblPr>
        <w:tblW w:w="10120" w:type="dxa"/>
        <w:jc w:val="center"/>
        <w:tblLook w:val="04A0" w:firstRow="1" w:lastRow="0" w:firstColumn="1" w:lastColumn="0" w:noHBand="0" w:noVBand="1"/>
      </w:tblPr>
      <w:tblGrid>
        <w:gridCol w:w="3740"/>
        <w:gridCol w:w="1540"/>
        <w:gridCol w:w="1540"/>
        <w:gridCol w:w="1540"/>
        <w:gridCol w:w="1760"/>
      </w:tblGrid>
      <w:tr w:rsidR="00941222" w:rsidRPr="00AA4851" w14:paraId="7F0B3A5B" w14:textId="77777777" w:rsidTr="00941222">
        <w:trPr>
          <w:trHeight w:val="390"/>
          <w:jc w:val="center"/>
        </w:trPr>
        <w:tc>
          <w:tcPr>
            <w:tcW w:w="10120" w:type="dxa"/>
            <w:gridSpan w:val="5"/>
            <w:tcBorders>
              <w:top w:val="single" w:sz="4" w:space="0" w:color="AAAAAA"/>
              <w:left w:val="single" w:sz="4" w:space="0" w:color="AAAAAA"/>
              <w:bottom w:val="single" w:sz="4" w:space="0" w:color="AAAAAA"/>
              <w:right w:val="nil"/>
            </w:tcBorders>
            <w:shd w:val="clear" w:color="D0E8F5" w:fill="BDD7EE"/>
            <w:noWrap/>
            <w:vAlign w:val="center"/>
            <w:hideMark/>
          </w:tcPr>
          <w:p w14:paraId="5E946C4A" w14:textId="77777777" w:rsidR="00941222" w:rsidRPr="00AA4851" w:rsidRDefault="00941222" w:rsidP="00AA4851">
            <w:pPr>
              <w:spacing w:line="360" w:lineRule="auto"/>
              <w:ind w:firstLineChars="100" w:firstLine="201"/>
              <w:jc w:val="both"/>
              <w:rPr>
                <w:b/>
                <w:bCs/>
                <w:color w:val="1F4E79"/>
                <w:sz w:val="20"/>
                <w:szCs w:val="20"/>
              </w:rPr>
            </w:pPr>
            <w:r>
              <w:rPr>
                <w:b/>
                <w:bCs/>
                <w:color w:val="1F4E79"/>
                <w:sz w:val="20"/>
                <w:szCs w:val="20"/>
              </w:rPr>
              <w:t>B. FINANCIAL LEVERAGE / DEBT RATIOS</w:t>
            </w:r>
          </w:p>
        </w:tc>
      </w:tr>
      <w:tr w:rsidR="00941222" w:rsidRPr="00AA4851" w14:paraId="5470625E"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4F81BD" w:fill="2E75B6"/>
            <w:vAlign w:val="center"/>
            <w:hideMark/>
          </w:tcPr>
          <w:p w14:paraId="6CCAAF57" w14:textId="77777777" w:rsidR="00941222" w:rsidRPr="00AA4851" w:rsidRDefault="00941222" w:rsidP="00AA4851">
            <w:pPr>
              <w:spacing w:line="360" w:lineRule="auto"/>
              <w:jc w:val="both"/>
              <w:rPr>
                <w:b/>
                <w:bCs/>
                <w:color w:val="FFFFFF"/>
                <w:sz w:val="22"/>
                <w:szCs w:val="22"/>
              </w:rPr>
            </w:pPr>
            <w:r>
              <w:rPr>
                <w:b/>
                <w:bCs/>
                <w:color w:val="FFFFFF"/>
                <w:sz w:val="22"/>
                <w:szCs w:val="22"/>
              </w:rPr>
              <w:t>Ratio</w:t>
            </w:r>
          </w:p>
        </w:tc>
        <w:tc>
          <w:tcPr>
            <w:tcW w:w="1540" w:type="dxa"/>
            <w:tcBorders>
              <w:top w:val="nil"/>
              <w:left w:val="nil"/>
              <w:bottom w:val="single" w:sz="4" w:space="0" w:color="AAAAAA"/>
              <w:right w:val="single" w:sz="4" w:space="0" w:color="AAAAAA"/>
            </w:tcBorders>
            <w:shd w:val="clear" w:color="4F81BD" w:fill="2E75B6"/>
            <w:vAlign w:val="center"/>
            <w:hideMark/>
          </w:tcPr>
          <w:p w14:paraId="36B5873B" w14:textId="77777777" w:rsidR="00941222" w:rsidRPr="00AA4851" w:rsidRDefault="00941222" w:rsidP="00AA4851">
            <w:pPr>
              <w:spacing w:line="360" w:lineRule="auto"/>
              <w:jc w:val="both"/>
              <w:rPr>
                <w:b/>
                <w:bCs/>
                <w:color w:val="FFFFFF"/>
                <w:sz w:val="22"/>
                <w:szCs w:val="22"/>
              </w:rPr>
            </w:pPr>
            <w:r>
              <w:rPr>
                <w:b/>
                <w:bCs/>
                <w:color w:val="FFFFFF"/>
                <w:sz w:val="22"/>
                <w:szCs w:val="22"/>
              </w:rPr>
              <w:t>ENGRO 2023</w:t>
            </w:r>
          </w:p>
        </w:tc>
        <w:tc>
          <w:tcPr>
            <w:tcW w:w="1540" w:type="dxa"/>
            <w:tcBorders>
              <w:top w:val="nil"/>
              <w:left w:val="nil"/>
              <w:bottom w:val="single" w:sz="4" w:space="0" w:color="AAAAAA"/>
              <w:right w:val="single" w:sz="4" w:space="0" w:color="AAAAAA"/>
            </w:tcBorders>
            <w:shd w:val="clear" w:color="4F81BD" w:fill="2E75B6"/>
            <w:vAlign w:val="center"/>
            <w:hideMark/>
          </w:tcPr>
          <w:p w14:paraId="6D11A830" w14:textId="77777777" w:rsidR="00941222" w:rsidRPr="00AA4851" w:rsidRDefault="00941222" w:rsidP="00AA4851">
            <w:pPr>
              <w:spacing w:line="360" w:lineRule="auto"/>
              <w:jc w:val="both"/>
              <w:rPr>
                <w:b/>
                <w:bCs/>
                <w:color w:val="FFFFFF"/>
                <w:sz w:val="22"/>
                <w:szCs w:val="22"/>
              </w:rPr>
            </w:pPr>
            <w:r>
              <w:rPr>
                <w:b/>
                <w:bCs/>
                <w:color w:val="FFFFFF"/>
                <w:sz w:val="22"/>
                <w:szCs w:val="22"/>
              </w:rPr>
              <w:t>ENGRO 2024</w:t>
            </w:r>
          </w:p>
        </w:tc>
        <w:tc>
          <w:tcPr>
            <w:tcW w:w="1540" w:type="dxa"/>
            <w:tcBorders>
              <w:top w:val="nil"/>
              <w:left w:val="nil"/>
              <w:bottom w:val="single" w:sz="4" w:space="0" w:color="AAAAAA"/>
              <w:right w:val="single" w:sz="4" w:space="0" w:color="AAAAAA"/>
            </w:tcBorders>
            <w:shd w:val="clear" w:color="4F81BD" w:fill="2E75B6"/>
            <w:vAlign w:val="center"/>
            <w:hideMark/>
          </w:tcPr>
          <w:p w14:paraId="596E3DC2" w14:textId="77777777" w:rsidR="00941222" w:rsidRPr="00AA4851" w:rsidRDefault="00941222" w:rsidP="00AA4851">
            <w:pPr>
              <w:spacing w:line="360" w:lineRule="auto"/>
              <w:jc w:val="both"/>
              <w:rPr>
                <w:b/>
                <w:bCs/>
                <w:color w:val="FFFFFF"/>
                <w:sz w:val="22"/>
                <w:szCs w:val="22"/>
              </w:rPr>
            </w:pPr>
            <w:r>
              <w:rPr>
                <w:b/>
                <w:bCs/>
                <w:color w:val="FFFFFF"/>
                <w:sz w:val="22"/>
                <w:szCs w:val="22"/>
              </w:rPr>
              <w:t>ENGRO 2025</w:t>
            </w:r>
          </w:p>
        </w:tc>
        <w:tc>
          <w:tcPr>
            <w:tcW w:w="1760" w:type="dxa"/>
            <w:tcBorders>
              <w:top w:val="nil"/>
              <w:left w:val="nil"/>
              <w:bottom w:val="single" w:sz="4" w:space="0" w:color="AAAAAA"/>
              <w:right w:val="single" w:sz="4" w:space="0" w:color="AAAAAA"/>
            </w:tcBorders>
            <w:shd w:val="clear" w:color="4F81BD" w:fill="2E75B6"/>
            <w:vAlign w:val="center"/>
            <w:hideMark/>
          </w:tcPr>
          <w:p w14:paraId="75443349" w14:textId="77777777" w:rsidR="00941222" w:rsidRPr="00AA4851" w:rsidRDefault="00941222" w:rsidP="00AA4851">
            <w:pPr>
              <w:spacing w:line="360" w:lineRule="auto"/>
              <w:jc w:val="both"/>
              <w:rPr>
                <w:b/>
                <w:bCs/>
                <w:color w:val="FFFFFF"/>
                <w:sz w:val="22"/>
                <w:szCs w:val="22"/>
              </w:rPr>
            </w:pPr>
            <w:r>
              <w:rPr>
                <w:b/>
                <w:bCs/>
                <w:color w:val="FFFFFF"/>
                <w:sz w:val="22"/>
                <w:szCs w:val="22"/>
              </w:rPr>
              <w:t>FFC 2025</w:t>
            </w:r>
          </w:p>
        </w:tc>
      </w:tr>
      <w:tr w:rsidR="00941222" w:rsidRPr="00AA4851" w14:paraId="7C7D4382"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767A8AE2"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Total Debt to Equity</w:t>
            </w:r>
          </w:p>
        </w:tc>
        <w:tc>
          <w:tcPr>
            <w:tcW w:w="1540" w:type="dxa"/>
            <w:tcBorders>
              <w:top w:val="nil"/>
              <w:left w:val="nil"/>
              <w:bottom w:val="single" w:sz="4" w:space="0" w:color="AAAAAA"/>
              <w:right w:val="single" w:sz="4" w:space="0" w:color="AAAAAA"/>
            </w:tcBorders>
            <w:noWrap/>
            <w:vAlign w:val="center"/>
            <w:hideMark/>
          </w:tcPr>
          <w:p w14:paraId="562EFF07" w14:textId="77777777" w:rsidR="00941222" w:rsidRPr="00AA4851" w:rsidRDefault="00941222" w:rsidP="00AA4851">
            <w:pPr>
              <w:spacing w:line="360" w:lineRule="auto"/>
              <w:jc w:val="both"/>
              <w:rPr>
                <w:color w:val="008000"/>
                <w:sz w:val="20"/>
                <w:szCs w:val="20"/>
              </w:rPr>
            </w:pPr>
            <w:r>
              <w:rPr>
                <w:color w:val="008000"/>
                <w:sz w:val="20"/>
                <w:szCs w:val="20"/>
              </w:rPr>
              <w:t>2.36</w:t>
            </w:r>
          </w:p>
        </w:tc>
        <w:tc>
          <w:tcPr>
            <w:tcW w:w="1540" w:type="dxa"/>
            <w:tcBorders>
              <w:top w:val="nil"/>
              <w:left w:val="nil"/>
              <w:bottom w:val="single" w:sz="4" w:space="0" w:color="AAAAAA"/>
              <w:right w:val="single" w:sz="4" w:space="0" w:color="AAAAAA"/>
            </w:tcBorders>
            <w:noWrap/>
            <w:vAlign w:val="center"/>
            <w:hideMark/>
          </w:tcPr>
          <w:p w14:paraId="63FAA45B" w14:textId="77777777" w:rsidR="00941222" w:rsidRPr="00AA4851" w:rsidRDefault="00941222" w:rsidP="00AA4851">
            <w:pPr>
              <w:spacing w:line="360" w:lineRule="auto"/>
              <w:jc w:val="both"/>
              <w:rPr>
                <w:color w:val="008000"/>
                <w:sz w:val="20"/>
                <w:szCs w:val="20"/>
              </w:rPr>
            </w:pPr>
            <w:r>
              <w:rPr>
                <w:color w:val="008000"/>
                <w:sz w:val="20"/>
                <w:szCs w:val="20"/>
              </w:rPr>
              <w:t>2.59</w:t>
            </w:r>
          </w:p>
        </w:tc>
        <w:tc>
          <w:tcPr>
            <w:tcW w:w="1540" w:type="dxa"/>
            <w:tcBorders>
              <w:top w:val="nil"/>
              <w:left w:val="nil"/>
              <w:bottom w:val="single" w:sz="4" w:space="0" w:color="AAAAAA"/>
              <w:right w:val="single" w:sz="4" w:space="0" w:color="AAAAAA"/>
            </w:tcBorders>
            <w:noWrap/>
            <w:vAlign w:val="center"/>
            <w:hideMark/>
          </w:tcPr>
          <w:p w14:paraId="218017B8" w14:textId="77777777" w:rsidR="00941222" w:rsidRPr="00AA4851" w:rsidRDefault="00941222" w:rsidP="00AA4851">
            <w:pPr>
              <w:spacing w:line="360" w:lineRule="auto"/>
              <w:jc w:val="both"/>
              <w:rPr>
                <w:color w:val="008000"/>
                <w:sz w:val="20"/>
                <w:szCs w:val="20"/>
              </w:rPr>
            </w:pPr>
            <w:r>
              <w:rPr>
                <w:color w:val="008000"/>
                <w:sz w:val="20"/>
                <w:szCs w:val="20"/>
              </w:rPr>
              <w:t>3.45</w:t>
            </w:r>
          </w:p>
        </w:tc>
        <w:tc>
          <w:tcPr>
            <w:tcW w:w="1760" w:type="dxa"/>
            <w:tcBorders>
              <w:top w:val="nil"/>
              <w:left w:val="nil"/>
              <w:bottom w:val="single" w:sz="4" w:space="0" w:color="AAAAAA"/>
              <w:right w:val="single" w:sz="4" w:space="0" w:color="AAAAAA"/>
            </w:tcBorders>
            <w:shd w:val="clear" w:color="F2F7FF" w:fill="EEF4FF"/>
            <w:noWrap/>
            <w:vAlign w:val="center"/>
            <w:hideMark/>
          </w:tcPr>
          <w:p w14:paraId="4A1AAD75" w14:textId="77777777" w:rsidR="00941222" w:rsidRPr="00AA4851" w:rsidRDefault="00941222" w:rsidP="00AA4851">
            <w:pPr>
              <w:spacing w:line="360" w:lineRule="auto"/>
              <w:jc w:val="both"/>
              <w:rPr>
                <w:color w:val="0000FF"/>
                <w:sz w:val="20"/>
                <w:szCs w:val="20"/>
              </w:rPr>
            </w:pPr>
            <w:r>
              <w:rPr>
                <w:color w:val="0000FF"/>
                <w:sz w:val="20"/>
                <w:szCs w:val="20"/>
              </w:rPr>
              <w:t>1.32</w:t>
            </w:r>
          </w:p>
        </w:tc>
      </w:tr>
      <w:tr w:rsidR="00941222" w:rsidRPr="00AA4851" w14:paraId="6906B623"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6C93C28B"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Total Debt to Total Assets</w:t>
            </w:r>
          </w:p>
        </w:tc>
        <w:tc>
          <w:tcPr>
            <w:tcW w:w="1540" w:type="dxa"/>
            <w:tcBorders>
              <w:top w:val="nil"/>
              <w:left w:val="nil"/>
              <w:bottom w:val="single" w:sz="4" w:space="0" w:color="AAAAAA"/>
              <w:right w:val="single" w:sz="4" w:space="0" w:color="AAAAAA"/>
            </w:tcBorders>
            <w:noWrap/>
            <w:vAlign w:val="center"/>
            <w:hideMark/>
          </w:tcPr>
          <w:p w14:paraId="7B9B331F" w14:textId="77777777" w:rsidR="00941222" w:rsidRPr="00AA4851" w:rsidRDefault="00941222" w:rsidP="00AA4851">
            <w:pPr>
              <w:spacing w:line="360" w:lineRule="auto"/>
              <w:jc w:val="both"/>
              <w:rPr>
                <w:color w:val="008000"/>
                <w:sz w:val="20"/>
                <w:szCs w:val="20"/>
              </w:rPr>
            </w:pPr>
            <w:r>
              <w:rPr>
                <w:color w:val="008000"/>
                <w:sz w:val="20"/>
                <w:szCs w:val="20"/>
              </w:rPr>
              <w:t>0.70</w:t>
            </w:r>
          </w:p>
        </w:tc>
        <w:tc>
          <w:tcPr>
            <w:tcW w:w="1540" w:type="dxa"/>
            <w:tcBorders>
              <w:top w:val="nil"/>
              <w:left w:val="nil"/>
              <w:bottom w:val="single" w:sz="4" w:space="0" w:color="AAAAAA"/>
              <w:right w:val="single" w:sz="4" w:space="0" w:color="AAAAAA"/>
            </w:tcBorders>
            <w:noWrap/>
            <w:vAlign w:val="center"/>
            <w:hideMark/>
          </w:tcPr>
          <w:p w14:paraId="0C052A5F" w14:textId="77777777" w:rsidR="00941222" w:rsidRPr="00AA4851" w:rsidRDefault="00941222" w:rsidP="00AA4851">
            <w:pPr>
              <w:spacing w:line="360" w:lineRule="auto"/>
              <w:jc w:val="both"/>
              <w:rPr>
                <w:color w:val="008000"/>
                <w:sz w:val="20"/>
                <w:szCs w:val="20"/>
              </w:rPr>
            </w:pPr>
            <w:r>
              <w:rPr>
                <w:color w:val="008000"/>
                <w:sz w:val="20"/>
                <w:szCs w:val="20"/>
              </w:rPr>
              <w:t>0.72</w:t>
            </w:r>
          </w:p>
        </w:tc>
        <w:tc>
          <w:tcPr>
            <w:tcW w:w="1540" w:type="dxa"/>
            <w:tcBorders>
              <w:top w:val="nil"/>
              <w:left w:val="nil"/>
              <w:bottom w:val="single" w:sz="4" w:space="0" w:color="AAAAAA"/>
              <w:right w:val="single" w:sz="4" w:space="0" w:color="AAAAAA"/>
            </w:tcBorders>
            <w:noWrap/>
            <w:vAlign w:val="center"/>
            <w:hideMark/>
          </w:tcPr>
          <w:p w14:paraId="3D372699" w14:textId="77777777" w:rsidR="00941222" w:rsidRPr="00AA4851" w:rsidRDefault="00941222" w:rsidP="00AA4851">
            <w:pPr>
              <w:spacing w:line="360" w:lineRule="auto"/>
              <w:jc w:val="both"/>
              <w:rPr>
                <w:color w:val="008000"/>
                <w:sz w:val="20"/>
                <w:szCs w:val="20"/>
              </w:rPr>
            </w:pPr>
            <w:r>
              <w:rPr>
                <w:color w:val="008000"/>
                <w:sz w:val="20"/>
                <w:szCs w:val="20"/>
              </w:rPr>
              <w:t>0.78</w:t>
            </w:r>
          </w:p>
        </w:tc>
        <w:tc>
          <w:tcPr>
            <w:tcW w:w="1760" w:type="dxa"/>
            <w:tcBorders>
              <w:top w:val="nil"/>
              <w:left w:val="nil"/>
              <w:bottom w:val="single" w:sz="4" w:space="0" w:color="AAAAAA"/>
              <w:right w:val="single" w:sz="4" w:space="0" w:color="AAAAAA"/>
            </w:tcBorders>
            <w:shd w:val="clear" w:color="F2F7FF" w:fill="EEF4FF"/>
            <w:noWrap/>
            <w:vAlign w:val="center"/>
            <w:hideMark/>
          </w:tcPr>
          <w:p w14:paraId="07D09C3E" w14:textId="77777777" w:rsidR="00941222" w:rsidRPr="00AA4851" w:rsidRDefault="00941222" w:rsidP="00AA4851">
            <w:pPr>
              <w:spacing w:line="360" w:lineRule="auto"/>
              <w:jc w:val="both"/>
              <w:rPr>
                <w:color w:val="0000FF"/>
                <w:sz w:val="20"/>
                <w:szCs w:val="20"/>
              </w:rPr>
            </w:pPr>
            <w:r>
              <w:rPr>
                <w:color w:val="0000FF"/>
                <w:sz w:val="20"/>
                <w:szCs w:val="20"/>
              </w:rPr>
              <w:t>0.57</w:t>
            </w:r>
          </w:p>
        </w:tc>
      </w:tr>
      <w:tr w:rsidR="00941222" w:rsidRPr="00AA4851" w14:paraId="0CBB3B45" w14:textId="77777777" w:rsidTr="00941222">
        <w:trPr>
          <w:trHeight w:val="48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41863EB9"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Long-term Debt to Total Capital</w:t>
            </w:r>
          </w:p>
        </w:tc>
        <w:tc>
          <w:tcPr>
            <w:tcW w:w="1540" w:type="dxa"/>
            <w:tcBorders>
              <w:top w:val="nil"/>
              <w:left w:val="nil"/>
              <w:bottom w:val="single" w:sz="4" w:space="0" w:color="AAAAAA"/>
              <w:right w:val="single" w:sz="4" w:space="0" w:color="AAAAAA"/>
            </w:tcBorders>
            <w:noWrap/>
            <w:vAlign w:val="center"/>
            <w:hideMark/>
          </w:tcPr>
          <w:p w14:paraId="56210929" w14:textId="77777777" w:rsidR="00941222" w:rsidRPr="00AA4851" w:rsidRDefault="00941222" w:rsidP="00AA4851">
            <w:pPr>
              <w:spacing w:line="360" w:lineRule="auto"/>
              <w:jc w:val="both"/>
              <w:rPr>
                <w:color w:val="008000"/>
                <w:sz w:val="20"/>
                <w:szCs w:val="20"/>
              </w:rPr>
            </w:pPr>
            <w:r>
              <w:rPr>
                <w:color w:val="008000"/>
                <w:sz w:val="20"/>
                <w:szCs w:val="20"/>
              </w:rPr>
              <w:t>0.06</w:t>
            </w:r>
          </w:p>
        </w:tc>
        <w:tc>
          <w:tcPr>
            <w:tcW w:w="1540" w:type="dxa"/>
            <w:tcBorders>
              <w:top w:val="nil"/>
              <w:left w:val="nil"/>
              <w:bottom w:val="single" w:sz="4" w:space="0" w:color="AAAAAA"/>
              <w:right w:val="single" w:sz="4" w:space="0" w:color="AAAAAA"/>
            </w:tcBorders>
            <w:noWrap/>
            <w:vAlign w:val="center"/>
            <w:hideMark/>
          </w:tcPr>
          <w:p w14:paraId="4C694E73" w14:textId="77777777" w:rsidR="00941222" w:rsidRPr="00AA4851" w:rsidRDefault="00941222" w:rsidP="00AA4851">
            <w:pPr>
              <w:spacing w:line="360" w:lineRule="auto"/>
              <w:jc w:val="both"/>
              <w:rPr>
                <w:color w:val="008000"/>
                <w:sz w:val="20"/>
                <w:szCs w:val="20"/>
              </w:rPr>
            </w:pPr>
            <w:r>
              <w:rPr>
                <w:color w:val="008000"/>
                <w:sz w:val="20"/>
                <w:szCs w:val="20"/>
              </w:rPr>
              <w:t>0.28</w:t>
            </w:r>
          </w:p>
        </w:tc>
        <w:tc>
          <w:tcPr>
            <w:tcW w:w="1540" w:type="dxa"/>
            <w:tcBorders>
              <w:top w:val="nil"/>
              <w:left w:val="nil"/>
              <w:bottom w:val="single" w:sz="4" w:space="0" w:color="AAAAAA"/>
              <w:right w:val="single" w:sz="4" w:space="0" w:color="AAAAAA"/>
            </w:tcBorders>
            <w:noWrap/>
            <w:vAlign w:val="center"/>
            <w:hideMark/>
          </w:tcPr>
          <w:p w14:paraId="7EF36279" w14:textId="77777777" w:rsidR="00941222" w:rsidRPr="00AA4851" w:rsidRDefault="00941222" w:rsidP="00AA4851">
            <w:pPr>
              <w:spacing w:line="360" w:lineRule="auto"/>
              <w:jc w:val="both"/>
              <w:rPr>
                <w:color w:val="008000"/>
                <w:sz w:val="20"/>
                <w:szCs w:val="20"/>
              </w:rPr>
            </w:pPr>
            <w:r>
              <w:rPr>
                <w:color w:val="008000"/>
                <w:sz w:val="20"/>
                <w:szCs w:val="20"/>
              </w:rPr>
              <w:t>0.40</w:t>
            </w:r>
          </w:p>
        </w:tc>
        <w:tc>
          <w:tcPr>
            <w:tcW w:w="1760" w:type="dxa"/>
            <w:tcBorders>
              <w:top w:val="nil"/>
              <w:left w:val="nil"/>
              <w:bottom w:val="single" w:sz="4" w:space="0" w:color="AAAAAA"/>
              <w:right w:val="single" w:sz="4" w:space="0" w:color="AAAAAA"/>
            </w:tcBorders>
            <w:shd w:val="clear" w:color="F2F7FF" w:fill="EEF4FF"/>
            <w:noWrap/>
            <w:vAlign w:val="center"/>
            <w:hideMark/>
          </w:tcPr>
          <w:p w14:paraId="5A15ADD9" w14:textId="77777777" w:rsidR="00941222" w:rsidRPr="00AA4851" w:rsidRDefault="00941222" w:rsidP="00AA4851">
            <w:pPr>
              <w:spacing w:line="360" w:lineRule="auto"/>
              <w:jc w:val="both"/>
              <w:rPr>
                <w:color w:val="0000FF"/>
                <w:sz w:val="20"/>
                <w:szCs w:val="20"/>
              </w:rPr>
            </w:pPr>
            <w:r>
              <w:rPr>
                <w:color w:val="0000FF"/>
                <w:sz w:val="20"/>
                <w:szCs w:val="20"/>
              </w:rPr>
              <w:t>0.16</w:t>
            </w:r>
          </w:p>
        </w:tc>
      </w:tr>
    </w:tbl>
    <w:p w14:paraId="1C68BC51" w14:textId="77777777" w:rsidR="00941222" w:rsidRPr="00AA4851" w:rsidRDefault="00941222" w:rsidP="00AA4851">
      <w:pPr>
        <w:spacing w:before="60" w:after="160" w:line="360" w:lineRule="auto"/>
        <w:jc w:val="both"/>
        <w:rPr>
          <w:i/>
          <w:iCs/>
          <w:color w:val="595959"/>
          <w:sz w:val="20"/>
          <w:szCs w:val="20"/>
        </w:rPr>
      </w:pPr>
    </w:p>
    <w:p w14:paraId="7BD50901" w14:textId="43150D20" w:rsidR="00B72638" w:rsidRPr="00AA4851" w:rsidRDefault="00976955" w:rsidP="00AA4851">
      <w:pPr>
        <w:spacing w:before="60" w:after="160" w:line="360" w:lineRule="auto"/>
        <w:jc w:val="both"/>
      </w:pPr>
      <w:r>
        <w:rPr>
          <w:noProof/>
        </w:rPr>
        <mc:AlternateContent>
          <mc:Choice Requires="wps">
            <w:drawing>
              <wp:anchor distT="0" distB="0" distL="114300" distR="114300" simplePos="0" relativeHeight="251665408" behindDoc="0" locked="0" layoutInCell="1" allowOverlap="1" wp14:anchorId="19A54B96" wp14:editId="45672DBC">
                <wp:simplePos x="0" y="0"/>
                <wp:positionH relativeFrom="column">
                  <wp:posOffset>1035050</wp:posOffset>
                </wp:positionH>
                <wp:positionV relativeFrom="paragraph">
                  <wp:posOffset>2463165</wp:posOffset>
                </wp:positionV>
                <wp:extent cx="3873500" cy="635"/>
                <wp:effectExtent l="0" t="0" r="0" b="0"/>
                <wp:wrapTopAndBottom/>
                <wp:docPr id="380331300" name="Text Box 1"/>
                <wp:cNvGraphicFramePr/>
                <a:graphic xmlns:a="http://schemas.openxmlformats.org/drawingml/2006/main">
                  <a:graphicData uri="http://schemas.microsoft.com/office/word/2010/wordprocessingShape">
                    <wps:wsp>
                      <wps:cNvSpPr txBox="1"/>
                      <wps:spPr>
                        <a:xfrm>
                          <a:off x="0" y="0"/>
                          <a:ext cx="3873500" cy="635"/>
                        </a:xfrm>
                        <a:prstGeom prst="rect">
                          <a:avLst/>
                        </a:prstGeom>
                        <a:solidFill>
                          <a:prstClr val="white"/>
                        </a:solidFill>
                        <a:ln>
                          <a:noFill/>
                        </a:ln>
                      </wps:spPr>
                      <wps:txbx>
                        <w:txbxContent>
                          <w:p w14:paraId="227F0473" w14:textId="23F97EF4" w:rsidR="00976955" w:rsidRPr="00976955" w:rsidRDefault="00976955" w:rsidP="00976955">
                            <w:pPr>
                              <w:pStyle w:val="Caption"/>
                              <w:keepNext/>
                              <w:jc w:val="center"/>
                              <w:rPr>
                                <w:sz w:val="24"/>
                                <w:szCs w:val="24"/>
                              </w:rPr>
                            </w:pPr>
                            <w:bookmarkStart w:id="13" w:name="_Toc229826413"/>
                            <w:bookmarkStart w:id="14" w:name="_Toc229826428"/>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2</w:t>
                            </w:r>
                            <w:r w:rsidRPr="00976955">
                              <w:rPr>
                                <w:sz w:val="24"/>
                                <w:szCs w:val="24"/>
                              </w:rPr>
                              <w:fldChar w:fldCharType="end"/>
                            </w:r>
                            <w:r w:rsidRPr="00976955">
                              <w:rPr>
                                <w:sz w:val="24"/>
                                <w:szCs w:val="24"/>
                              </w:rPr>
                              <w:t xml:space="preserve"> Leverage Ratios</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54B96" id="_x0000_s1027" type="#_x0000_t202" style="position:absolute;left:0;text-align:left;margin-left:81.5pt;margin-top:193.95pt;width:30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BO3GAIAAD8EAAAOAAAAZHJzL2Uyb0RvYy54bWysU8Fu2zAMvQ/YPwi6L04at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bz/Pr6cUkhS7mV/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" stroked="f">
                <v:textbox style="mso-fit-shape-to-text:t" inset="0,0,0,0">
                  <w:txbxContent>
                    <w:p w14:paraId="227F0473" w14:textId="23F97EF4" w:rsidR="00976955" w:rsidRPr="00976955" w:rsidRDefault="00976955" w:rsidP="00976955">
                      <w:pPr>
                        <w:pStyle w:val="Caption"/>
                        <w:keepNext/>
                        <w:jc w:val="center"/>
                        <w:rPr>
                          <w:sz w:val="24"/>
                          <w:szCs w:val="24"/>
                        </w:rPr>
                      </w:pPr>
                      <w:bookmarkStart w:id="15" w:name="_Toc229826413"/>
                      <w:bookmarkStart w:id="16" w:name="_Toc229826428"/>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2</w:t>
                      </w:r>
                      <w:r w:rsidRPr="00976955">
                        <w:rPr>
                          <w:sz w:val="24"/>
                          <w:szCs w:val="24"/>
                        </w:rPr>
                        <w:fldChar w:fldCharType="end"/>
                      </w:r>
                      <w:r w:rsidRPr="00976955">
                        <w:rPr>
                          <w:sz w:val="24"/>
                          <w:szCs w:val="24"/>
                        </w:rPr>
                        <w:t xml:space="preserve"> Leverage Ratios</w:t>
                      </w:r>
                      <w:bookmarkEnd w:id="15"/>
                      <w:bookmarkEnd w:id="16"/>
                    </w:p>
                  </w:txbxContent>
                </v:textbox>
                <w10:wrap type="topAndBottom"/>
              </v:shape>
            </w:pict>
          </mc:Fallback>
        </mc:AlternateContent>
      </w:r>
      <w:r w:rsidR="00B72638">
        <w:rPr>
          <w:noProof/>
        </w:rPr>
        <w:drawing>
          <wp:anchor distT="0" distB="0" distL="114300" distR="114300" simplePos="0" relativeHeight="251659264" behindDoc="0" locked="0" layoutInCell="1" allowOverlap="1" wp14:anchorId="3EA2AD96" wp14:editId="77DCEDCD">
            <wp:simplePos x="0" y="0"/>
            <wp:positionH relativeFrom="column">
              <wp:posOffset>1035050</wp:posOffset>
            </wp:positionH>
            <wp:positionV relativeFrom="paragraph">
              <wp:posOffset>-635</wp:posOffset>
            </wp:positionV>
            <wp:extent cx="3873500" cy="2406650"/>
            <wp:effectExtent l="0" t="0" r="0" b="0"/>
            <wp:wrapTopAndBottom/>
            <wp:docPr id="113689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5226" name=""/>
                    <pic:cNvPicPr/>
                  </pic:nvPicPr>
                  <pic:blipFill>
                    <a:blip r:embed="rId10">
                      <a:extLst>
                        <a:ext uri="{28A0092B-C50C-407E-A947-70E740481C1C}">
                          <a14:useLocalDpi xmlns:a14="http://schemas.microsoft.com/office/drawing/2010/main" val="0"/>
                        </a:ext>
                      </a:extLst>
                    </a:blip>
                    <a:stretch>
                      <a:fillRect/>
                    </a:stretch>
                  </pic:blipFill>
                  <pic:spPr>
                    <a:xfrm>
                      <a:off x="0" y="0"/>
                      <a:ext cx="3873500" cy="2406650"/>
                    </a:xfrm>
                    <a:prstGeom prst="rect">
                      <a:avLst/>
                    </a:prstGeom>
                  </pic:spPr>
                </pic:pic>
              </a:graphicData>
            </a:graphic>
          </wp:anchor>
        </w:drawing>
      </w:r>
    </w:p>
    <w:p w14:paraId="0C8CF959" w14:textId="79D2D8B9" w:rsidR="00A0068D" w:rsidRPr="00A41412" w:rsidRDefault="00A0068D" w:rsidP="00A41412">
      <w:pPr>
        <w:pStyle w:val="Heading2"/>
        <w:spacing w:line="360" w:lineRule="auto"/>
        <w:jc w:val="both"/>
        <w:rPr>
          <w:sz w:val="28"/>
          <w:szCs w:val="28"/>
        </w:rPr>
      </w:pPr>
      <w:bookmarkStart w:id="17" w:name="_Toc229914486"/>
      <w:r>
        <w:rPr>
          <w:rFonts w:eastAsia="Arial"/>
          <w:sz w:val="28"/>
          <w:szCs w:val="28"/>
        </w:rPr>
        <w:t>Interpretation</w:t>
      </w:r>
      <w:r w:rsidR="00A41412">
        <w:rPr>
          <w:sz w:val="28"/>
          <w:szCs w:val="28"/>
        </w:rPr>
        <w:br/>
      </w:r>
      <w:r w:rsidR="00232888">
        <w:rPr>
          <w:color w:val="000000"/>
          <w:sz w:val="24"/>
          <w:szCs w:val="24"/>
        </w:rPr>
        <w:t xml:space="preserve">EFERT's debt grew very </w:t>
      </w:r>
      <w:proofErr w:type="gramStart"/>
      <w:r w:rsidR="00232888">
        <w:rPr>
          <w:color w:val="000000"/>
          <w:sz w:val="24"/>
          <w:szCs w:val="24"/>
        </w:rPr>
        <w:t>fast  D</w:t>
      </w:r>
      <w:proofErr w:type="gramEnd"/>
      <w:r w:rsidR="00232888">
        <w:rPr>
          <w:color w:val="000000"/>
          <w:sz w:val="24"/>
          <w:szCs w:val="24"/>
        </w:rPr>
        <w:t xml:space="preserve">/E went from 2.36x to 3.45x as short-term borrowings rose 43 times and long-term borrowings rose nine times in just three years. By 2025, only 22.5% of assets are funded by equity, which means the company is heavily dependent on borrowed money. FFC is much more conservative with a D/E of 1.32x and debt-to-assets of 56.8% (Engro Fertilizers </w:t>
      </w:r>
      <w:r w:rsidR="00232888">
        <w:rPr>
          <w:color w:val="000000"/>
          <w:sz w:val="24"/>
          <w:szCs w:val="24"/>
        </w:rPr>
        <w:lastRenderedPageBreak/>
        <w:t>Limited, 2025).</w:t>
      </w:r>
      <w:r w:rsidR="00232888">
        <w:rPr>
          <w:color w:val="000000"/>
          <w:sz w:val="24"/>
          <w:szCs w:val="24"/>
        </w:rPr>
        <w:br/>
      </w:r>
      <w:r w:rsidR="00232888">
        <w:rPr>
          <w:rFonts w:eastAsia="Arial"/>
          <w:b/>
          <w:bCs/>
          <w:color w:val="2E75B6"/>
          <w:sz w:val="28"/>
          <w:szCs w:val="28"/>
        </w:rPr>
        <w:t>2.</w:t>
      </w:r>
      <w:proofErr w:type="gramStart"/>
      <w:r w:rsidR="00232888">
        <w:rPr>
          <w:rFonts w:eastAsia="Arial"/>
          <w:b/>
          <w:bCs/>
          <w:color w:val="2E75B6"/>
          <w:sz w:val="28"/>
          <w:szCs w:val="28"/>
        </w:rPr>
        <w:t>4  Coverage</w:t>
      </w:r>
      <w:proofErr w:type="gramEnd"/>
      <w:r w:rsidR="00232888">
        <w:rPr>
          <w:rFonts w:eastAsia="Arial"/>
          <w:b/>
          <w:bCs/>
          <w:color w:val="2E75B6"/>
          <w:sz w:val="28"/>
          <w:szCs w:val="28"/>
        </w:rPr>
        <w:t xml:space="preserve"> Ratio</w:t>
      </w:r>
      <w:bookmarkEnd w:id="17"/>
    </w:p>
    <w:p w14:paraId="5493BB5A" w14:textId="5E3495C3" w:rsidR="00976955" w:rsidRPr="00976955" w:rsidRDefault="00976955" w:rsidP="00976955">
      <w:pPr>
        <w:pStyle w:val="Caption"/>
        <w:keepNext/>
        <w:jc w:val="center"/>
        <w:rPr>
          <w:sz w:val="24"/>
          <w:szCs w:val="24"/>
        </w:rPr>
      </w:pPr>
      <w:bookmarkStart w:id="18" w:name="_Toc229826577"/>
      <w:r w:rsidRPr="00976955">
        <w:rPr>
          <w:sz w:val="24"/>
          <w:szCs w:val="24"/>
        </w:rPr>
        <w:t xml:space="preserve">Table </w:t>
      </w:r>
      <w:r w:rsidRPr="00976955">
        <w:rPr>
          <w:sz w:val="24"/>
          <w:szCs w:val="24"/>
        </w:rPr>
        <w:fldChar w:fldCharType="begin"/>
      </w:r>
      <w:r w:rsidRPr="00976955">
        <w:rPr>
          <w:sz w:val="24"/>
          <w:szCs w:val="24"/>
        </w:rPr>
        <w:instrText xml:space="preserve"> SEQ Table \* ARABIC </w:instrText>
      </w:r>
      <w:r w:rsidRPr="00976955">
        <w:rPr>
          <w:sz w:val="24"/>
          <w:szCs w:val="24"/>
        </w:rPr>
        <w:fldChar w:fldCharType="separate"/>
      </w:r>
      <w:r w:rsidRPr="00976955">
        <w:rPr>
          <w:sz w:val="24"/>
          <w:szCs w:val="24"/>
        </w:rPr>
        <w:t>3</w:t>
      </w:r>
      <w:r w:rsidRPr="00976955">
        <w:rPr>
          <w:sz w:val="24"/>
          <w:szCs w:val="24"/>
        </w:rPr>
        <w:fldChar w:fldCharType="end"/>
      </w:r>
      <w:r w:rsidRPr="00976955">
        <w:rPr>
          <w:sz w:val="24"/>
          <w:szCs w:val="24"/>
        </w:rPr>
        <w:t xml:space="preserve"> Coverage Ratios</w:t>
      </w:r>
      <w:bookmarkEnd w:id="18"/>
    </w:p>
    <w:tbl>
      <w:tblPr>
        <w:tblW w:w="10378" w:type="dxa"/>
        <w:jc w:val="center"/>
        <w:tblLayout w:type="fixed"/>
        <w:tblLook w:val="0000" w:firstRow="0" w:lastRow="0" w:firstColumn="0" w:lastColumn="0" w:noHBand="0" w:noVBand="0"/>
      </w:tblPr>
      <w:tblGrid>
        <w:gridCol w:w="3835"/>
        <w:gridCol w:w="1579"/>
        <w:gridCol w:w="1580"/>
        <w:gridCol w:w="1579"/>
        <w:gridCol w:w="1805"/>
      </w:tblGrid>
      <w:tr w:rsidR="00941222" w:rsidRPr="00AA4851" w14:paraId="1C0C87D1" w14:textId="77777777" w:rsidTr="00941222">
        <w:trPr>
          <w:trHeight w:val="360"/>
          <w:jc w:val="center"/>
        </w:trPr>
        <w:tc>
          <w:tcPr>
            <w:tcW w:w="3835" w:type="dxa"/>
            <w:tcBorders>
              <w:top w:val="single" w:sz="6" w:space="0" w:color="AAAAAA"/>
              <w:left w:val="single" w:sz="6" w:space="0" w:color="AAAAAA"/>
              <w:bottom w:val="single" w:sz="6" w:space="0" w:color="AAAAAA"/>
              <w:right w:val="nil"/>
            </w:tcBorders>
            <w:shd w:val="solid" w:color="BDD7EE" w:fill="D0E8F5"/>
          </w:tcPr>
          <w:p w14:paraId="1FCB4B06" w14:textId="77777777" w:rsidR="00941222" w:rsidRPr="00AA4851" w:rsidRDefault="00941222" w:rsidP="00AA4851">
            <w:pPr>
              <w:autoSpaceDE w:val="0"/>
              <w:autoSpaceDN w:val="0"/>
              <w:adjustRightInd w:val="0"/>
              <w:spacing w:line="360" w:lineRule="auto"/>
              <w:jc w:val="both"/>
              <w:rPr>
                <w:b/>
                <w:bCs/>
                <w:color w:val="1F4E79"/>
                <w:sz w:val="20"/>
                <w:szCs w:val="20"/>
              </w:rPr>
            </w:pPr>
            <w:r>
              <w:rPr>
                <w:b/>
                <w:bCs/>
                <w:color w:val="1F4E79"/>
                <w:sz w:val="20"/>
                <w:szCs w:val="20"/>
              </w:rPr>
              <w:t>C. COVERAGE RATIO</w:t>
            </w:r>
          </w:p>
        </w:tc>
        <w:tc>
          <w:tcPr>
            <w:tcW w:w="1579" w:type="dxa"/>
            <w:tcBorders>
              <w:top w:val="single" w:sz="6" w:space="0" w:color="AAAAAA"/>
              <w:left w:val="single" w:sz="6" w:space="0" w:color="AAAAAA"/>
              <w:bottom w:val="single" w:sz="6" w:space="0" w:color="AAAAAA"/>
              <w:right w:val="nil"/>
            </w:tcBorders>
            <w:shd w:val="solid" w:color="BDD7EE" w:fill="D0E8F5"/>
          </w:tcPr>
          <w:p w14:paraId="5509E40B" w14:textId="77777777" w:rsidR="00941222" w:rsidRPr="00AA4851" w:rsidRDefault="00941222" w:rsidP="00AA4851">
            <w:pPr>
              <w:autoSpaceDE w:val="0"/>
              <w:autoSpaceDN w:val="0"/>
              <w:adjustRightInd w:val="0"/>
              <w:spacing w:line="360" w:lineRule="auto"/>
              <w:jc w:val="both"/>
              <w:rPr>
                <w:b/>
                <w:bCs/>
                <w:color w:val="1F4E79"/>
                <w:sz w:val="20"/>
                <w:szCs w:val="20"/>
              </w:rPr>
            </w:pPr>
          </w:p>
        </w:tc>
        <w:tc>
          <w:tcPr>
            <w:tcW w:w="1580" w:type="dxa"/>
            <w:tcBorders>
              <w:top w:val="single" w:sz="6" w:space="0" w:color="AAAAAA"/>
              <w:left w:val="single" w:sz="6" w:space="0" w:color="AAAAAA"/>
              <w:bottom w:val="single" w:sz="6" w:space="0" w:color="AAAAAA"/>
              <w:right w:val="nil"/>
            </w:tcBorders>
            <w:shd w:val="solid" w:color="BDD7EE" w:fill="D0E8F5"/>
          </w:tcPr>
          <w:p w14:paraId="777E630B" w14:textId="77777777" w:rsidR="00941222" w:rsidRPr="00AA4851" w:rsidRDefault="00941222" w:rsidP="00AA4851">
            <w:pPr>
              <w:autoSpaceDE w:val="0"/>
              <w:autoSpaceDN w:val="0"/>
              <w:adjustRightInd w:val="0"/>
              <w:spacing w:line="360" w:lineRule="auto"/>
              <w:jc w:val="both"/>
              <w:rPr>
                <w:b/>
                <w:bCs/>
                <w:color w:val="1F4E79"/>
                <w:sz w:val="20"/>
                <w:szCs w:val="20"/>
              </w:rPr>
            </w:pPr>
          </w:p>
        </w:tc>
        <w:tc>
          <w:tcPr>
            <w:tcW w:w="1579" w:type="dxa"/>
            <w:tcBorders>
              <w:top w:val="single" w:sz="6" w:space="0" w:color="AAAAAA"/>
              <w:left w:val="single" w:sz="6" w:space="0" w:color="AAAAAA"/>
              <w:bottom w:val="single" w:sz="6" w:space="0" w:color="AAAAAA"/>
              <w:right w:val="nil"/>
            </w:tcBorders>
            <w:shd w:val="solid" w:color="BDD7EE" w:fill="D0E8F5"/>
          </w:tcPr>
          <w:p w14:paraId="46AA9029" w14:textId="77777777" w:rsidR="00941222" w:rsidRPr="00AA4851" w:rsidRDefault="00941222" w:rsidP="00AA4851">
            <w:pPr>
              <w:autoSpaceDE w:val="0"/>
              <w:autoSpaceDN w:val="0"/>
              <w:adjustRightInd w:val="0"/>
              <w:spacing w:line="360" w:lineRule="auto"/>
              <w:jc w:val="both"/>
              <w:rPr>
                <w:b/>
                <w:bCs/>
                <w:color w:val="1F4E79"/>
                <w:sz w:val="20"/>
                <w:szCs w:val="20"/>
              </w:rPr>
            </w:pPr>
          </w:p>
        </w:tc>
        <w:tc>
          <w:tcPr>
            <w:tcW w:w="1805" w:type="dxa"/>
            <w:tcBorders>
              <w:top w:val="single" w:sz="6" w:space="0" w:color="AAAAAA"/>
              <w:left w:val="single" w:sz="6" w:space="0" w:color="AAAAAA"/>
              <w:bottom w:val="single" w:sz="6" w:space="0" w:color="AAAAAA"/>
              <w:right w:val="nil"/>
            </w:tcBorders>
            <w:shd w:val="solid" w:color="BDD7EE" w:fill="D0E8F5"/>
          </w:tcPr>
          <w:p w14:paraId="186955C8" w14:textId="77777777" w:rsidR="00941222" w:rsidRPr="00AA4851" w:rsidRDefault="00941222" w:rsidP="00AA4851">
            <w:pPr>
              <w:autoSpaceDE w:val="0"/>
              <w:autoSpaceDN w:val="0"/>
              <w:adjustRightInd w:val="0"/>
              <w:spacing w:line="360" w:lineRule="auto"/>
              <w:jc w:val="both"/>
              <w:rPr>
                <w:b/>
                <w:bCs/>
                <w:color w:val="1F4E79"/>
                <w:sz w:val="20"/>
                <w:szCs w:val="20"/>
              </w:rPr>
            </w:pPr>
          </w:p>
        </w:tc>
      </w:tr>
      <w:tr w:rsidR="00941222" w:rsidRPr="00AA4851" w14:paraId="655A61BF" w14:textId="77777777" w:rsidTr="00941222">
        <w:trPr>
          <w:trHeight w:val="290"/>
          <w:jc w:val="center"/>
        </w:trPr>
        <w:tc>
          <w:tcPr>
            <w:tcW w:w="3835" w:type="dxa"/>
            <w:tcBorders>
              <w:top w:val="single" w:sz="6" w:space="0" w:color="AAAAAA"/>
              <w:left w:val="single" w:sz="6" w:space="0" w:color="AAAAAA"/>
              <w:bottom w:val="single" w:sz="6" w:space="0" w:color="AAAAAA"/>
              <w:right w:val="single" w:sz="6" w:space="0" w:color="AAAAAA"/>
            </w:tcBorders>
            <w:shd w:val="solid" w:color="2E75B6" w:fill="4F81BD"/>
          </w:tcPr>
          <w:p w14:paraId="27C30C35" w14:textId="77777777" w:rsidR="00941222" w:rsidRPr="00AA4851" w:rsidRDefault="00941222" w:rsidP="00AA4851">
            <w:pPr>
              <w:autoSpaceDE w:val="0"/>
              <w:autoSpaceDN w:val="0"/>
              <w:adjustRightInd w:val="0"/>
              <w:spacing w:line="360" w:lineRule="auto"/>
              <w:jc w:val="both"/>
              <w:rPr>
                <w:b/>
                <w:bCs/>
                <w:color w:val="F7FBFF"/>
                <w:sz w:val="22"/>
                <w:szCs w:val="22"/>
              </w:rPr>
            </w:pPr>
            <w:r>
              <w:rPr>
                <w:b/>
                <w:bCs/>
                <w:color w:val="F7FBFF"/>
                <w:sz w:val="22"/>
                <w:szCs w:val="22"/>
              </w:rPr>
              <w:t>Ratio</w:t>
            </w:r>
          </w:p>
        </w:tc>
        <w:tc>
          <w:tcPr>
            <w:tcW w:w="1579" w:type="dxa"/>
            <w:tcBorders>
              <w:top w:val="single" w:sz="6" w:space="0" w:color="AAAAAA"/>
              <w:left w:val="single" w:sz="6" w:space="0" w:color="AAAAAA"/>
              <w:bottom w:val="single" w:sz="6" w:space="0" w:color="AAAAAA"/>
              <w:right w:val="single" w:sz="6" w:space="0" w:color="AAAAAA"/>
            </w:tcBorders>
            <w:shd w:val="solid" w:color="2E75B6" w:fill="4F81BD"/>
          </w:tcPr>
          <w:p w14:paraId="00B81856" w14:textId="77777777" w:rsidR="00941222" w:rsidRPr="00AA4851" w:rsidRDefault="00941222" w:rsidP="00AA4851">
            <w:pPr>
              <w:autoSpaceDE w:val="0"/>
              <w:autoSpaceDN w:val="0"/>
              <w:adjustRightInd w:val="0"/>
              <w:spacing w:line="360" w:lineRule="auto"/>
              <w:jc w:val="both"/>
              <w:rPr>
                <w:b/>
                <w:bCs/>
                <w:color w:val="F7FBFF"/>
                <w:sz w:val="22"/>
                <w:szCs w:val="22"/>
              </w:rPr>
            </w:pPr>
            <w:r>
              <w:rPr>
                <w:b/>
                <w:bCs/>
                <w:color w:val="F7FBFF"/>
                <w:sz w:val="22"/>
                <w:szCs w:val="22"/>
              </w:rPr>
              <w:t>ENGRO 2023</w:t>
            </w:r>
          </w:p>
        </w:tc>
        <w:tc>
          <w:tcPr>
            <w:tcW w:w="1580" w:type="dxa"/>
            <w:tcBorders>
              <w:top w:val="single" w:sz="6" w:space="0" w:color="AAAAAA"/>
              <w:left w:val="single" w:sz="6" w:space="0" w:color="AAAAAA"/>
              <w:bottom w:val="single" w:sz="6" w:space="0" w:color="AAAAAA"/>
              <w:right w:val="single" w:sz="6" w:space="0" w:color="AAAAAA"/>
            </w:tcBorders>
            <w:shd w:val="solid" w:color="2E75B6" w:fill="4F81BD"/>
          </w:tcPr>
          <w:p w14:paraId="318A4EDE" w14:textId="77777777" w:rsidR="00941222" w:rsidRPr="00AA4851" w:rsidRDefault="00941222" w:rsidP="00AA4851">
            <w:pPr>
              <w:autoSpaceDE w:val="0"/>
              <w:autoSpaceDN w:val="0"/>
              <w:adjustRightInd w:val="0"/>
              <w:spacing w:line="360" w:lineRule="auto"/>
              <w:jc w:val="both"/>
              <w:rPr>
                <w:b/>
                <w:bCs/>
                <w:color w:val="F7FBFF"/>
                <w:sz w:val="22"/>
                <w:szCs w:val="22"/>
              </w:rPr>
            </w:pPr>
            <w:r>
              <w:rPr>
                <w:b/>
                <w:bCs/>
                <w:color w:val="F7FBFF"/>
                <w:sz w:val="22"/>
                <w:szCs w:val="22"/>
              </w:rPr>
              <w:t>ENGRO 2024</w:t>
            </w:r>
          </w:p>
        </w:tc>
        <w:tc>
          <w:tcPr>
            <w:tcW w:w="1579" w:type="dxa"/>
            <w:tcBorders>
              <w:top w:val="single" w:sz="6" w:space="0" w:color="AAAAAA"/>
              <w:left w:val="single" w:sz="6" w:space="0" w:color="AAAAAA"/>
              <w:bottom w:val="single" w:sz="6" w:space="0" w:color="AAAAAA"/>
              <w:right w:val="single" w:sz="6" w:space="0" w:color="AAAAAA"/>
            </w:tcBorders>
            <w:shd w:val="solid" w:color="2E75B6" w:fill="4F81BD"/>
          </w:tcPr>
          <w:p w14:paraId="22007A43" w14:textId="77777777" w:rsidR="00941222" w:rsidRPr="00AA4851" w:rsidRDefault="00941222" w:rsidP="00AA4851">
            <w:pPr>
              <w:autoSpaceDE w:val="0"/>
              <w:autoSpaceDN w:val="0"/>
              <w:adjustRightInd w:val="0"/>
              <w:spacing w:line="360" w:lineRule="auto"/>
              <w:jc w:val="both"/>
              <w:rPr>
                <w:b/>
                <w:bCs/>
                <w:color w:val="F7FBFF"/>
                <w:sz w:val="22"/>
                <w:szCs w:val="22"/>
              </w:rPr>
            </w:pPr>
            <w:r>
              <w:rPr>
                <w:b/>
                <w:bCs/>
                <w:color w:val="F7FBFF"/>
                <w:sz w:val="22"/>
                <w:szCs w:val="22"/>
              </w:rPr>
              <w:t>ENGRO 2025</w:t>
            </w:r>
          </w:p>
        </w:tc>
        <w:tc>
          <w:tcPr>
            <w:tcW w:w="1805" w:type="dxa"/>
            <w:tcBorders>
              <w:top w:val="single" w:sz="6" w:space="0" w:color="AAAAAA"/>
              <w:left w:val="single" w:sz="6" w:space="0" w:color="AAAAAA"/>
              <w:bottom w:val="single" w:sz="6" w:space="0" w:color="AAAAAA"/>
              <w:right w:val="single" w:sz="6" w:space="0" w:color="AAAAAA"/>
            </w:tcBorders>
            <w:shd w:val="solid" w:color="2E75B6" w:fill="4F81BD"/>
          </w:tcPr>
          <w:p w14:paraId="075F12A1" w14:textId="77777777" w:rsidR="00941222" w:rsidRPr="00AA4851" w:rsidRDefault="00941222" w:rsidP="00AA4851">
            <w:pPr>
              <w:autoSpaceDE w:val="0"/>
              <w:autoSpaceDN w:val="0"/>
              <w:adjustRightInd w:val="0"/>
              <w:spacing w:line="360" w:lineRule="auto"/>
              <w:jc w:val="both"/>
              <w:rPr>
                <w:b/>
                <w:bCs/>
                <w:color w:val="F7FBFF"/>
                <w:sz w:val="22"/>
                <w:szCs w:val="22"/>
              </w:rPr>
            </w:pPr>
            <w:r>
              <w:rPr>
                <w:b/>
                <w:bCs/>
                <w:color w:val="F7FBFF"/>
                <w:sz w:val="22"/>
                <w:szCs w:val="22"/>
              </w:rPr>
              <w:t>FFC 2025</w:t>
            </w:r>
          </w:p>
        </w:tc>
      </w:tr>
      <w:tr w:rsidR="00941222" w:rsidRPr="00AA4851" w14:paraId="6E3A38D9" w14:textId="77777777" w:rsidTr="00941222">
        <w:trPr>
          <w:trHeight w:val="389"/>
          <w:jc w:val="center"/>
        </w:trPr>
        <w:tc>
          <w:tcPr>
            <w:tcW w:w="3835" w:type="dxa"/>
            <w:tcBorders>
              <w:top w:val="single" w:sz="6" w:space="0" w:color="AAAAAA"/>
              <w:left w:val="single" w:sz="6" w:space="0" w:color="AAAAAA"/>
              <w:bottom w:val="single" w:sz="6" w:space="0" w:color="AAAAAA"/>
              <w:right w:val="single" w:sz="6" w:space="0" w:color="AAAAAA"/>
            </w:tcBorders>
            <w:shd w:val="solid" w:color="F7FBFF" w:fill="FAFAFA"/>
          </w:tcPr>
          <w:p w14:paraId="5764C7DF" w14:textId="77777777" w:rsidR="00941222" w:rsidRPr="00AA4851" w:rsidRDefault="00941222" w:rsidP="00AA4851">
            <w:pPr>
              <w:autoSpaceDE w:val="0"/>
              <w:autoSpaceDN w:val="0"/>
              <w:adjustRightInd w:val="0"/>
              <w:spacing w:line="360" w:lineRule="auto"/>
              <w:jc w:val="both"/>
              <w:rPr>
                <w:color w:val="333333"/>
                <w:sz w:val="20"/>
                <w:szCs w:val="20"/>
              </w:rPr>
            </w:pPr>
            <w:r>
              <w:rPr>
                <w:color w:val="333333"/>
                <w:sz w:val="20"/>
                <w:szCs w:val="20"/>
              </w:rPr>
              <w:t>Times Interest Earned (TIE / ICR)</w:t>
            </w:r>
          </w:p>
        </w:tc>
        <w:tc>
          <w:tcPr>
            <w:tcW w:w="1579" w:type="dxa"/>
            <w:tcBorders>
              <w:top w:val="single" w:sz="6" w:space="0" w:color="AAAAAA"/>
              <w:left w:val="single" w:sz="6" w:space="0" w:color="AAAAAA"/>
              <w:bottom w:val="single" w:sz="6" w:space="0" w:color="AAAAAA"/>
              <w:right w:val="single" w:sz="6" w:space="0" w:color="AAAAAA"/>
            </w:tcBorders>
          </w:tcPr>
          <w:p w14:paraId="50549253" w14:textId="77777777" w:rsidR="00941222" w:rsidRPr="00AA4851" w:rsidRDefault="00941222" w:rsidP="00AA4851">
            <w:pPr>
              <w:autoSpaceDE w:val="0"/>
              <w:autoSpaceDN w:val="0"/>
              <w:adjustRightInd w:val="0"/>
              <w:spacing w:line="360" w:lineRule="auto"/>
              <w:jc w:val="both"/>
              <w:rPr>
                <w:color w:val="008000"/>
                <w:sz w:val="20"/>
                <w:szCs w:val="20"/>
              </w:rPr>
            </w:pPr>
            <w:r>
              <w:rPr>
                <w:color w:val="008000"/>
                <w:sz w:val="20"/>
                <w:szCs w:val="20"/>
              </w:rPr>
              <w:t>40.83</w:t>
            </w:r>
          </w:p>
        </w:tc>
        <w:tc>
          <w:tcPr>
            <w:tcW w:w="1580" w:type="dxa"/>
            <w:tcBorders>
              <w:top w:val="single" w:sz="6" w:space="0" w:color="AAAAAA"/>
              <w:left w:val="single" w:sz="6" w:space="0" w:color="AAAAAA"/>
              <w:bottom w:val="single" w:sz="6" w:space="0" w:color="AAAAAA"/>
              <w:right w:val="single" w:sz="6" w:space="0" w:color="AAAAAA"/>
            </w:tcBorders>
          </w:tcPr>
          <w:p w14:paraId="577E4B99" w14:textId="77777777" w:rsidR="00941222" w:rsidRPr="00AA4851" w:rsidRDefault="00941222" w:rsidP="00AA4851">
            <w:pPr>
              <w:autoSpaceDE w:val="0"/>
              <w:autoSpaceDN w:val="0"/>
              <w:adjustRightInd w:val="0"/>
              <w:spacing w:line="360" w:lineRule="auto"/>
              <w:jc w:val="both"/>
              <w:rPr>
                <w:color w:val="008000"/>
                <w:sz w:val="20"/>
                <w:szCs w:val="20"/>
              </w:rPr>
            </w:pPr>
            <w:r>
              <w:rPr>
                <w:color w:val="008000"/>
                <w:sz w:val="20"/>
                <w:szCs w:val="20"/>
              </w:rPr>
              <w:t>12.03</w:t>
            </w:r>
          </w:p>
        </w:tc>
        <w:tc>
          <w:tcPr>
            <w:tcW w:w="1579" w:type="dxa"/>
            <w:tcBorders>
              <w:top w:val="single" w:sz="6" w:space="0" w:color="AAAAAA"/>
              <w:left w:val="single" w:sz="6" w:space="0" w:color="AAAAAA"/>
              <w:bottom w:val="single" w:sz="6" w:space="0" w:color="AAAAAA"/>
              <w:right w:val="single" w:sz="6" w:space="0" w:color="AAAAAA"/>
            </w:tcBorders>
          </w:tcPr>
          <w:p w14:paraId="2327176F" w14:textId="77777777" w:rsidR="00941222" w:rsidRPr="00AA4851" w:rsidRDefault="00941222" w:rsidP="00AA4851">
            <w:pPr>
              <w:autoSpaceDE w:val="0"/>
              <w:autoSpaceDN w:val="0"/>
              <w:adjustRightInd w:val="0"/>
              <w:spacing w:line="360" w:lineRule="auto"/>
              <w:jc w:val="both"/>
              <w:rPr>
                <w:color w:val="008000"/>
                <w:sz w:val="20"/>
                <w:szCs w:val="20"/>
              </w:rPr>
            </w:pPr>
            <w:r>
              <w:rPr>
                <w:color w:val="008000"/>
                <w:sz w:val="20"/>
                <w:szCs w:val="20"/>
              </w:rPr>
              <w:t>7.72</w:t>
            </w:r>
          </w:p>
        </w:tc>
        <w:tc>
          <w:tcPr>
            <w:tcW w:w="1805" w:type="dxa"/>
            <w:tcBorders>
              <w:top w:val="single" w:sz="6" w:space="0" w:color="AAAAAA"/>
              <w:left w:val="single" w:sz="6" w:space="0" w:color="AAAAAA"/>
              <w:bottom w:val="single" w:sz="6" w:space="0" w:color="AAAAAA"/>
              <w:right w:val="single" w:sz="6" w:space="0" w:color="AAAAAA"/>
            </w:tcBorders>
            <w:shd w:val="solid" w:color="EEF4FF" w:fill="F2F7FF"/>
          </w:tcPr>
          <w:p w14:paraId="2DBAB18D" w14:textId="77777777" w:rsidR="00941222" w:rsidRPr="00AA4851" w:rsidRDefault="00941222" w:rsidP="00AA4851">
            <w:pPr>
              <w:autoSpaceDE w:val="0"/>
              <w:autoSpaceDN w:val="0"/>
              <w:adjustRightInd w:val="0"/>
              <w:spacing w:line="360" w:lineRule="auto"/>
              <w:jc w:val="both"/>
              <w:rPr>
                <w:color w:val="0000FF"/>
                <w:sz w:val="20"/>
                <w:szCs w:val="20"/>
              </w:rPr>
            </w:pPr>
            <w:r>
              <w:rPr>
                <w:color w:val="0000FF"/>
                <w:sz w:val="20"/>
                <w:szCs w:val="20"/>
              </w:rPr>
              <w:t>15.57</w:t>
            </w:r>
          </w:p>
        </w:tc>
      </w:tr>
    </w:tbl>
    <w:p w14:paraId="79833335" w14:textId="7E71F206" w:rsidR="00F60791" w:rsidRPr="00AA4851" w:rsidRDefault="00B72638" w:rsidP="00B10FC9">
      <w:pPr>
        <w:spacing w:before="60" w:after="160" w:line="360" w:lineRule="auto"/>
        <w:jc w:val="both"/>
      </w:pPr>
      <w:r>
        <w:rPr>
          <w:i/>
          <w:iCs/>
          <w:color w:val="595959"/>
          <w:sz w:val="20"/>
          <w:szCs w:val="20"/>
        </w:rPr>
        <w:br/>
      </w:r>
      <w:r w:rsidR="00976955">
        <w:rPr>
          <w:noProof/>
        </w:rPr>
        <mc:AlternateContent>
          <mc:Choice Requires="wps">
            <w:drawing>
              <wp:anchor distT="0" distB="0" distL="114300" distR="114300" simplePos="0" relativeHeight="251667456" behindDoc="0" locked="0" layoutInCell="1" allowOverlap="1" wp14:anchorId="509AAF37" wp14:editId="14373E9E">
                <wp:simplePos x="0" y="0"/>
                <wp:positionH relativeFrom="column">
                  <wp:posOffset>1028700</wp:posOffset>
                </wp:positionH>
                <wp:positionV relativeFrom="paragraph">
                  <wp:posOffset>2590800</wp:posOffset>
                </wp:positionV>
                <wp:extent cx="3886200" cy="635"/>
                <wp:effectExtent l="0" t="0" r="0" b="0"/>
                <wp:wrapTopAndBottom/>
                <wp:docPr id="1890250064" name="Text Box 1"/>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wps:spPr>
                      <wps:txbx>
                        <w:txbxContent>
                          <w:p w14:paraId="05B3C838" w14:textId="7165258F" w:rsidR="00976955" w:rsidRPr="00976955" w:rsidRDefault="00976955" w:rsidP="00976955">
                            <w:pPr>
                              <w:pStyle w:val="Caption"/>
                              <w:keepNext/>
                              <w:jc w:val="center"/>
                              <w:rPr>
                                <w:sz w:val="24"/>
                                <w:szCs w:val="24"/>
                              </w:rPr>
                            </w:pPr>
                            <w:bookmarkStart w:id="19" w:name="_Toc229826414"/>
                            <w:bookmarkStart w:id="20" w:name="_Toc229826429"/>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3</w:t>
                            </w:r>
                            <w:r w:rsidRPr="00976955">
                              <w:rPr>
                                <w:sz w:val="24"/>
                                <w:szCs w:val="24"/>
                              </w:rPr>
                              <w:fldChar w:fldCharType="end"/>
                            </w:r>
                            <w:r w:rsidRPr="00976955">
                              <w:rPr>
                                <w:sz w:val="24"/>
                                <w:szCs w:val="24"/>
                              </w:rPr>
                              <w:t xml:space="preserve"> Coverage Ratios</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9AAF37" id="_x0000_s1028" type="#_x0000_t202" style="position:absolute;left:0;text-align:left;margin-left:81pt;margin-top:204pt;width:30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Bz5GQIAAD8EAAAOAAAAZHJzL2Uyb0RvYy54bWysU1GP2jAMfp+0/xDlfRQ4DS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" stroked="f">
                <v:textbox style="mso-fit-shape-to-text:t" inset="0,0,0,0">
                  <w:txbxContent>
                    <w:p w14:paraId="05B3C838" w14:textId="7165258F" w:rsidR="00976955" w:rsidRPr="00976955" w:rsidRDefault="00976955" w:rsidP="00976955">
                      <w:pPr>
                        <w:pStyle w:val="Caption"/>
                        <w:keepNext/>
                        <w:jc w:val="center"/>
                        <w:rPr>
                          <w:sz w:val="24"/>
                          <w:szCs w:val="24"/>
                        </w:rPr>
                      </w:pPr>
                      <w:bookmarkStart w:id="21" w:name="_Toc229826414"/>
                      <w:bookmarkStart w:id="22" w:name="_Toc229826429"/>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3</w:t>
                      </w:r>
                      <w:r w:rsidRPr="00976955">
                        <w:rPr>
                          <w:sz w:val="24"/>
                          <w:szCs w:val="24"/>
                        </w:rPr>
                        <w:fldChar w:fldCharType="end"/>
                      </w:r>
                      <w:r w:rsidRPr="00976955">
                        <w:rPr>
                          <w:sz w:val="24"/>
                          <w:szCs w:val="24"/>
                        </w:rPr>
                        <w:t xml:space="preserve"> Coverage Ratios</w:t>
                      </w:r>
                      <w:bookmarkEnd w:id="21"/>
                      <w:bookmarkEnd w:id="22"/>
                    </w:p>
                  </w:txbxContent>
                </v:textbox>
                <w10:wrap type="topAndBottom"/>
              </v:shape>
            </w:pict>
          </mc:Fallback>
        </mc:AlternateContent>
      </w:r>
      <w:r>
        <w:rPr>
          <w:noProof/>
        </w:rPr>
        <w:drawing>
          <wp:anchor distT="0" distB="0" distL="114300" distR="114300" simplePos="0" relativeHeight="251660288" behindDoc="0" locked="0" layoutInCell="1" allowOverlap="1" wp14:anchorId="75EAE0C0" wp14:editId="4F1502E0">
            <wp:simplePos x="0" y="0"/>
            <wp:positionH relativeFrom="column">
              <wp:posOffset>1028700</wp:posOffset>
            </wp:positionH>
            <wp:positionV relativeFrom="paragraph">
              <wp:posOffset>184150</wp:posOffset>
            </wp:positionV>
            <wp:extent cx="3886200" cy="2349500"/>
            <wp:effectExtent l="0" t="0" r="0" b="0"/>
            <wp:wrapTopAndBottom/>
            <wp:docPr id="197799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95237" name=""/>
                    <pic:cNvPicPr/>
                  </pic:nvPicPr>
                  <pic:blipFill>
                    <a:blip r:embed="rId11">
                      <a:extLst>
                        <a:ext uri="{28A0092B-C50C-407E-A947-70E740481C1C}">
                          <a14:useLocalDpi xmlns:a14="http://schemas.microsoft.com/office/drawing/2010/main" val="0"/>
                        </a:ext>
                      </a:extLst>
                    </a:blip>
                    <a:stretch>
                      <a:fillRect/>
                    </a:stretch>
                  </pic:blipFill>
                  <pic:spPr>
                    <a:xfrm>
                      <a:off x="0" y="0"/>
                      <a:ext cx="3886200" cy="2349500"/>
                    </a:xfrm>
                    <a:prstGeom prst="rect">
                      <a:avLst/>
                    </a:prstGeom>
                  </pic:spPr>
                </pic:pic>
              </a:graphicData>
            </a:graphic>
          </wp:anchor>
        </w:drawing>
      </w:r>
    </w:p>
    <w:p w14:paraId="6D8D45F0" w14:textId="7A7E709D" w:rsidR="00A0068D" w:rsidRPr="00AA4851" w:rsidRDefault="00A0068D" w:rsidP="00AA4851">
      <w:pPr>
        <w:pStyle w:val="Heading2"/>
        <w:spacing w:line="360" w:lineRule="auto"/>
        <w:jc w:val="both"/>
        <w:rPr>
          <w:rFonts w:eastAsia="Arial"/>
          <w:sz w:val="28"/>
          <w:szCs w:val="28"/>
        </w:rPr>
      </w:pPr>
      <w:bookmarkStart w:id="23" w:name="_Toc229824027"/>
      <w:bookmarkStart w:id="24" w:name="_Toc229914487"/>
      <w:r>
        <w:rPr>
          <w:rFonts w:eastAsia="Arial"/>
          <w:sz w:val="28"/>
          <w:szCs w:val="28"/>
        </w:rPr>
        <w:t>Interpretation</w:t>
      </w:r>
      <w:r w:rsidR="00A41412">
        <w:rPr>
          <w:color w:val="000000"/>
        </w:rPr>
        <w:br/>
      </w:r>
      <w:r>
        <w:rPr>
          <w:color w:val="000000"/>
          <w:sz w:val="24"/>
          <w:szCs w:val="24"/>
        </w:rPr>
        <w:t>TIE fell from 40.83x in 2023 to 7.72x in 2025, an 81% drop, mainly because EFERT borrowed heavily when Pakistan's policy rate was at 22% and EBIT also declined (Engro Fertilizers Limited, 2025). EFERT is still above the 3.0x safety level, but the direction is concerning. FFC's 15.57x shows it is in a much safer position.</w:t>
      </w:r>
      <w:bookmarkEnd w:id="23"/>
      <w:bookmarkEnd w:id="24"/>
    </w:p>
    <w:p w14:paraId="12A6F6CE" w14:textId="67AF37CE" w:rsidR="00A0068D" w:rsidRPr="00AA4851" w:rsidRDefault="00A0068D" w:rsidP="00AA4851">
      <w:pPr>
        <w:pStyle w:val="Heading2"/>
        <w:spacing w:before="280" w:after="100" w:line="360" w:lineRule="auto"/>
        <w:jc w:val="both"/>
        <w:rPr>
          <w:sz w:val="28"/>
          <w:szCs w:val="28"/>
        </w:rPr>
      </w:pPr>
      <w:bookmarkStart w:id="25" w:name="_Toc229914488"/>
      <w:proofErr w:type="gramStart"/>
      <w:r>
        <w:rPr>
          <w:rFonts w:eastAsia="Arial"/>
          <w:b/>
          <w:bCs/>
          <w:color w:val="2E75B6"/>
          <w:sz w:val="28"/>
          <w:szCs w:val="28"/>
        </w:rPr>
        <w:t>2.5  Activity</w:t>
      </w:r>
      <w:proofErr w:type="gramEnd"/>
      <w:r>
        <w:rPr>
          <w:rFonts w:eastAsia="Arial"/>
          <w:b/>
          <w:bCs/>
          <w:color w:val="2E75B6"/>
          <w:sz w:val="28"/>
          <w:szCs w:val="28"/>
        </w:rPr>
        <w:t xml:space="preserve"> / Efficiency Ratios</w:t>
      </w:r>
      <w:bookmarkEnd w:id="25"/>
    </w:p>
    <w:p w14:paraId="5A64466D" w14:textId="0F210E77" w:rsidR="00976955" w:rsidRPr="00976955" w:rsidRDefault="00976955" w:rsidP="00976955">
      <w:pPr>
        <w:pStyle w:val="Caption"/>
        <w:keepNext/>
        <w:jc w:val="center"/>
        <w:rPr>
          <w:sz w:val="24"/>
          <w:szCs w:val="24"/>
        </w:rPr>
      </w:pPr>
      <w:bookmarkStart w:id="26" w:name="_Toc229826578"/>
      <w:r w:rsidRPr="00976955">
        <w:rPr>
          <w:sz w:val="24"/>
          <w:szCs w:val="24"/>
        </w:rPr>
        <w:t xml:space="preserve">Table </w:t>
      </w:r>
      <w:r w:rsidRPr="00976955">
        <w:rPr>
          <w:sz w:val="24"/>
          <w:szCs w:val="24"/>
        </w:rPr>
        <w:fldChar w:fldCharType="begin"/>
      </w:r>
      <w:r w:rsidRPr="00976955">
        <w:rPr>
          <w:sz w:val="24"/>
          <w:szCs w:val="24"/>
        </w:rPr>
        <w:instrText xml:space="preserve"> SEQ Table \* ARABIC </w:instrText>
      </w:r>
      <w:r w:rsidRPr="00976955">
        <w:rPr>
          <w:sz w:val="24"/>
          <w:szCs w:val="24"/>
        </w:rPr>
        <w:fldChar w:fldCharType="separate"/>
      </w:r>
      <w:r w:rsidRPr="00976955">
        <w:rPr>
          <w:sz w:val="24"/>
          <w:szCs w:val="24"/>
        </w:rPr>
        <w:t>4</w:t>
      </w:r>
      <w:r w:rsidRPr="00976955">
        <w:rPr>
          <w:sz w:val="24"/>
          <w:szCs w:val="24"/>
        </w:rPr>
        <w:fldChar w:fldCharType="end"/>
      </w:r>
      <w:r w:rsidRPr="00976955">
        <w:rPr>
          <w:sz w:val="24"/>
          <w:szCs w:val="24"/>
        </w:rPr>
        <w:t xml:space="preserve"> Activity Ratios</w:t>
      </w:r>
      <w:bookmarkEnd w:id="26"/>
    </w:p>
    <w:tbl>
      <w:tblPr>
        <w:tblW w:w="10120" w:type="dxa"/>
        <w:jc w:val="center"/>
        <w:tblLook w:val="04A0" w:firstRow="1" w:lastRow="0" w:firstColumn="1" w:lastColumn="0" w:noHBand="0" w:noVBand="1"/>
      </w:tblPr>
      <w:tblGrid>
        <w:gridCol w:w="3740"/>
        <w:gridCol w:w="1540"/>
        <w:gridCol w:w="1540"/>
        <w:gridCol w:w="1540"/>
        <w:gridCol w:w="1760"/>
      </w:tblGrid>
      <w:tr w:rsidR="00941222" w:rsidRPr="00AA4851" w14:paraId="44E0BFFA" w14:textId="77777777" w:rsidTr="00941222">
        <w:trPr>
          <w:trHeight w:val="360"/>
          <w:jc w:val="center"/>
        </w:trPr>
        <w:tc>
          <w:tcPr>
            <w:tcW w:w="10120" w:type="dxa"/>
            <w:gridSpan w:val="5"/>
            <w:tcBorders>
              <w:top w:val="single" w:sz="4" w:space="0" w:color="AAAAAA"/>
              <w:left w:val="single" w:sz="4" w:space="0" w:color="AAAAAA"/>
              <w:bottom w:val="single" w:sz="4" w:space="0" w:color="AAAAAA"/>
              <w:right w:val="nil"/>
            </w:tcBorders>
            <w:shd w:val="clear" w:color="D0E8F5" w:fill="BDD7EE"/>
            <w:noWrap/>
            <w:vAlign w:val="center"/>
            <w:hideMark/>
          </w:tcPr>
          <w:p w14:paraId="6FE1CF75" w14:textId="77777777" w:rsidR="00941222" w:rsidRPr="00AA4851" w:rsidRDefault="00941222" w:rsidP="00AA4851">
            <w:pPr>
              <w:spacing w:line="360" w:lineRule="auto"/>
              <w:jc w:val="both"/>
              <w:rPr>
                <w:b/>
                <w:bCs/>
                <w:color w:val="1F4E79"/>
                <w:sz w:val="20"/>
                <w:szCs w:val="20"/>
              </w:rPr>
            </w:pPr>
            <w:r>
              <w:rPr>
                <w:b/>
                <w:bCs/>
                <w:color w:val="1F4E79"/>
                <w:sz w:val="20"/>
                <w:szCs w:val="20"/>
              </w:rPr>
              <w:t>D. ACTIVITY / EFFICIENCY RATIOS</w:t>
            </w:r>
          </w:p>
        </w:tc>
      </w:tr>
      <w:tr w:rsidR="00941222" w:rsidRPr="00AA4851" w14:paraId="0A491452" w14:textId="77777777" w:rsidTr="00941222">
        <w:trPr>
          <w:trHeight w:val="360"/>
          <w:jc w:val="center"/>
        </w:trPr>
        <w:tc>
          <w:tcPr>
            <w:tcW w:w="3740" w:type="dxa"/>
            <w:tcBorders>
              <w:top w:val="nil"/>
              <w:left w:val="single" w:sz="4" w:space="0" w:color="AAAAAA"/>
              <w:bottom w:val="single" w:sz="4" w:space="0" w:color="AAAAAA"/>
              <w:right w:val="nil"/>
            </w:tcBorders>
            <w:shd w:val="clear" w:color="D0E8F5" w:fill="BDD7EE"/>
            <w:noWrap/>
            <w:vAlign w:val="center"/>
            <w:hideMark/>
          </w:tcPr>
          <w:p w14:paraId="7D31B90D" w14:textId="77777777" w:rsidR="00941222" w:rsidRPr="00AA4851" w:rsidRDefault="00941222" w:rsidP="00AA4851">
            <w:pPr>
              <w:spacing w:line="360" w:lineRule="auto"/>
              <w:jc w:val="both"/>
              <w:rPr>
                <w:b/>
                <w:bCs/>
                <w:color w:val="1F4E79"/>
                <w:sz w:val="20"/>
                <w:szCs w:val="20"/>
              </w:rPr>
            </w:pPr>
            <w:r>
              <w:rPr>
                <w:b/>
                <w:bCs/>
                <w:color w:val="1F4E79"/>
                <w:sz w:val="20"/>
                <w:szCs w:val="20"/>
              </w:rPr>
              <w:t> </w:t>
            </w:r>
          </w:p>
        </w:tc>
        <w:tc>
          <w:tcPr>
            <w:tcW w:w="4620" w:type="dxa"/>
            <w:gridSpan w:val="3"/>
            <w:tcBorders>
              <w:top w:val="single" w:sz="4" w:space="0" w:color="AAAAAA"/>
              <w:left w:val="single" w:sz="4" w:space="0" w:color="AAAAAA"/>
              <w:bottom w:val="single" w:sz="4" w:space="0" w:color="AAAAAA"/>
              <w:right w:val="single" w:sz="4" w:space="0" w:color="AAAAAA"/>
            </w:tcBorders>
            <w:shd w:val="clear" w:color="D0E8F5" w:fill="BDD7EE"/>
            <w:noWrap/>
            <w:vAlign w:val="center"/>
            <w:hideMark/>
          </w:tcPr>
          <w:p w14:paraId="779522C0" w14:textId="77777777" w:rsidR="00941222" w:rsidRPr="00AA4851" w:rsidRDefault="00941222" w:rsidP="00AA4851">
            <w:pPr>
              <w:spacing w:line="360" w:lineRule="auto"/>
              <w:jc w:val="both"/>
              <w:rPr>
                <w:b/>
                <w:bCs/>
                <w:color w:val="1F4E79"/>
                <w:sz w:val="20"/>
                <w:szCs w:val="20"/>
              </w:rPr>
            </w:pPr>
            <w:r>
              <w:rPr>
                <w:b/>
                <w:bCs/>
                <w:color w:val="1F4E79"/>
                <w:sz w:val="20"/>
                <w:szCs w:val="20"/>
              </w:rPr>
              <w:t>ENGRO</w:t>
            </w:r>
          </w:p>
        </w:tc>
        <w:tc>
          <w:tcPr>
            <w:tcW w:w="1760" w:type="dxa"/>
            <w:tcBorders>
              <w:top w:val="nil"/>
              <w:left w:val="nil"/>
              <w:bottom w:val="single" w:sz="4" w:space="0" w:color="AAAAAA"/>
              <w:right w:val="nil"/>
            </w:tcBorders>
            <w:shd w:val="clear" w:color="D0E8F5" w:fill="BDD7EE"/>
            <w:noWrap/>
            <w:vAlign w:val="center"/>
            <w:hideMark/>
          </w:tcPr>
          <w:p w14:paraId="2F6329D8" w14:textId="77777777" w:rsidR="00941222" w:rsidRPr="00AA4851" w:rsidRDefault="00941222" w:rsidP="00AA4851">
            <w:pPr>
              <w:spacing w:line="360" w:lineRule="auto"/>
              <w:jc w:val="both"/>
              <w:rPr>
                <w:b/>
                <w:bCs/>
                <w:color w:val="1F4E79"/>
                <w:sz w:val="20"/>
                <w:szCs w:val="20"/>
              </w:rPr>
            </w:pPr>
            <w:r>
              <w:rPr>
                <w:b/>
                <w:bCs/>
                <w:color w:val="1F4E79"/>
                <w:sz w:val="20"/>
                <w:szCs w:val="20"/>
              </w:rPr>
              <w:t>FFC</w:t>
            </w:r>
          </w:p>
        </w:tc>
      </w:tr>
      <w:tr w:rsidR="00941222" w:rsidRPr="00AA4851" w14:paraId="111AE24D"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4F81BD" w:fill="2E75B6"/>
            <w:vAlign w:val="center"/>
            <w:hideMark/>
          </w:tcPr>
          <w:p w14:paraId="309D40E4" w14:textId="77777777" w:rsidR="00941222" w:rsidRPr="00AA4851" w:rsidRDefault="00941222" w:rsidP="00AA4851">
            <w:pPr>
              <w:spacing w:line="360" w:lineRule="auto"/>
              <w:jc w:val="both"/>
              <w:rPr>
                <w:b/>
                <w:bCs/>
                <w:color w:val="FFFFFF"/>
                <w:sz w:val="22"/>
                <w:szCs w:val="22"/>
              </w:rPr>
            </w:pPr>
            <w:r>
              <w:rPr>
                <w:b/>
                <w:bCs/>
                <w:color w:val="FFFFFF"/>
                <w:sz w:val="22"/>
                <w:szCs w:val="22"/>
              </w:rPr>
              <w:t>Ratio</w:t>
            </w:r>
          </w:p>
        </w:tc>
        <w:tc>
          <w:tcPr>
            <w:tcW w:w="1540" w:type="dxa"/>
            <w:tcBorders>
              <w:top w:val="nil"/>
              <w:left w:val="nil"/>
              <w:bottom w:val="single" w:sz="4" w:space="0" w:color="AAAAAA"/>
              <w:right w:val="single" w:sz="4" w:space="0" w:color="AAAAAA"/>
            </w:tcBorders>
            <w:shd w:val="clear" w:color="4F81BD" w:fill="2E75B6"/>
            <w:vAlign w:val="center"/>
            <w:hideMark/>
          </w:tcPr>
          <w:p w14:paraId="1BCF4006" w14:textId="77777777" w:rsidR="00941222" w:rsidRPr="00AA4851" w:rsidRDefault="00941222" w:rsidP="00AA4851">
            <w:pPr>
              <w:spacing w:line="360" w:lineRule="auto"/>
              <w:jc w:val="both"/>
              <w:rPr>
                <w:b/>
                <w:bCs/>
                <w:color w:val="FFFFFF"/>
                <w:sz w:val="22"/>
                <w:szCs w:val="22"/>
              </w:rPr>
            </w:pPr>
            <w:r>
              <w:rPr>
                <w:b/>
                <w:bCs/>
                <w:color w:val="FFFFFF"/>
                <w:sz w:val="22"/>
                <w:szCs w:val="22"/>
              </w:rPr>
              <w:t>2023</w:t>
            </w:r>
          </w:p>
        </w:tc>
        <w:tc>
          <w:tcPr>
            <w:tcW w:w="1540" w:type="dxa"/>
            <w:tcBorders>
              <w:top w:val="nil"/>
              <w:left w:val="nil"/>
              <w:bottom w:val="single" w:sz="4" w:space="0" w:color="AAAAAA"/>
              <w:right w:val="single" w:sz="4" w:space="0" w:color="AAAAAA"/>
            </w:tcBorders>
            <w:shd w:val="clear" w:color="4F81BD" w:fill="2E75B6"/>
            <w:vAlign w:val="center"/>
            <w:hideMark/>
          </w:tcPr>
          <w:p w14:paraId="78D7EDCF" w14:textId="77777777" w:rsidR="00941222" w:rsidRPr="00AA4851" w:rsidRDefault="00941222" w:rsidP="00AA4851">
            <w:pPr>
              <w:spacing w:line="360" w:lineRule="auto"/>
              <w:jc w:val="both"/>
              <w:rPr>
                <w:b/>
                <w:bCs/>
                <w:color w:val="FFFFFF"/>
                <w:sz w:val="22"/>
                <w:szCs w:val="22"/>
              </w:rPr>
            </w:pPr>
            <w:r>
              <w:rPr>
                <w:b/>
                <w:bCs/>
                <w:color w:val="FFFFFF"/>
                <w:sz w:val="22"/>
                <w:szCs w:val="22"/>
              </w:rPr>
              <w:t>2024</w:t>
            </w:r>
          </w:p>
        </w:tc>
        <w:tc>
          <w:tcPr>
            <w:tcW w:w="1540" w:type="dxa"/>
            <w:tcBorders>
              <w:top w:val="nil"/>
              <w:left w:val="nil"/>
              <w:bottom w:val="single" w:sz="4" w:space="0" w:color="AAAAAA"/>
              <w:right w:val="single" w:sz="4" w:space="0" w:color="AAAAAA"/>
            </w:tcBorders>
            <w:shd w:val="clear" w:color="4F81BD" w:fill="2E75B6"/>
            <w:vAlign w:val="center"/>
            <w:hideMark/>
          </w:tcPr>
          <w:p w14:paraId="0ECB10EB" w14:textId="77777777" w:rsidR="00941222" w:rsidRPr="00AA4851" w:rsidRDefault="00941222" w:rsidP="00AA4851">
            <w:pPr>
              <w:spacing w:line="360" w:lineRule="auto"/>
              <w:jc w:val="both"/>
              <w:rPr>
                <w:b/>
                <w:bCs/>
                <w:color w:val="FFFFFF"/>
                <w:sz w:val="22"/>
                <w:szCs w:val="22"/>
              </w:rPr>
            </w:pPr>
            <w:r>
              <w:rPr>
                <w:b/>
                <w:bCs/>
                <w:color w:val="FFFFFF"/>
                <w:sz w:val="22"/>
                <w:szCs w:val="22"/>
              </w:rPr>
              <w:t>2025</w:t>
            </w:r>
          </w:p>
        </w:tc>
        <w:tc>
          <w:tcPr>
            <w:tcW w:w="1760" w:type="dxa"/>
            <w:tcBorders>
              <w:top w:val="nil"/>
              <w:left w:val="nil"/>
              <w:bottom w:val="single" w:sz="4" w:space="0" w:color="AAAAAA"/>
              <w:right w:val="single" w:sz="4" w:space="0" w:color="AAAAAA"/>
            </w:tcBorders>
            <w:shd w:val="clear" w:color="4F81BD" w:fill="2E75B6"/>
            <w:vAlign w:val="center"/>
            <w:hideMark/>
          </w:tcPr>
          <w:p w14:paraId="1F54BE72" w14:textId="77777777" w:rsidR="00941222" w:rsidRPr="00AA4851" w:rsidRDefault="00941222" w:rsidP="00AA4851">
            <w:pPr>
              <w:spacing w:line="360" w:lineRule="auto"/>
              <w:jc w:val="both"/>
              <w:rPr>
                <w:b/>
                <w:bCs/>
                <w:color w:val="FFFFFF"/>
                <w:sz w:val="22"/>
                <w:szCs w:val="22"/>
              </w:rPr>
            </w:pPr>
            <w:r>
              <w:rPr>
                <w:b/>
                <w:bCs/>
                <w:color w:val="FFFFFF"/>
                <w:sz w:val="22"/>
                <w:szCs w:val="22"/>
              </w:rPr>
              <w:t>2025</w:t>
            </w:r>
          </w:p>
        </w:tc>
      </w:tr>
      <w:tr w:rsidR="00941222" w:rsidRPr="00AA4851" w14:paraId="40434E68"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4F685101"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Receivable Turnover</w:t>
            </w:r>
          </w:p>
        </w:tc>
        <w:tc>
          <w:tcPr>
            <w:tcW w:w="1540" w:type="dxa"/>
            <w:tcBorders>
              <w:top w:val="nil"/>
              <w:left w:val="nil"/>
              <w:bottom w:val="single" w:sz="4" w:space="0" w:color="AAAAAA"/>
              <w:right w:val="single" w:sz="4" w:space="0" w:color="AAAAAA"/>
            </w:tcBorders>
            <w:noWrap/>
            <w:vAlign w:val="center"/>
            <w:hideMark/>
          </w:tcPr>
          <w:p w14:paraId="6FF87392" w14:textId="77777777" w:rsidR="00941222" w:rsidRPr="00AA4851" w:rsidRDefault="00941222" w:rsidP="00AA4851">
            <w:pPr>
              <w:spacing w:line="360" w:lineRule="auto"/>
              <w:jc w:val="both"/>
              <w:rPr>
                <w:color w:val="008000"/>
                <w:sz w:val="20"/>
                <w:szCs w:val="20"/>
              </w:rPr>
            </w:pPr>
            <w:r>
              <w:rPr>
                <w:color w:val="008000"/>
                <w:sz w:val="20"/>
                <w:szCs w:val="20"/>
              </w:rPr>
              <w:t>76.81x</w:t>
            </w:r>
          </w:p>
        </w:tc>
        <w:tc>
          <w:tcPr>
            <w:tcW w:w="1540" w:type="dxa"/>
            <w:tcBorders>
              <w:top w:val="nil"/>
              <w:left w:val="nil"/>
              <w:bottom w:val="single" w:sz="4" w:space="0" w:color="AAAAAA"/>
              <w:right w:val="single" w:sz="4" w:space="0" w:color="AAAAAA"/>
            </w:tcBorders>
            <w:noWrap/>
            <w:vAlign w:val="center"/>
            <w:hideMark/>
          </w:tcPr>
          <w:p w14:paraId="29768A92" w14:textId="77777777" w:rsidR="00941222" w:rsidRPr="00AA4851" w:rsidRDefault="00941222" w:rsidP="00AA4851">
            <w:pPr>
              <w:spacing w:line="360" w:lineRule="auto"/>
              <w:jc w:val="both"/>
              <w:rPr>
                <w:color w:val="008000"/>
                <w:sz w:val="20"/>
                <w:szCs w:val="20"/>
              </w:rPr>
            </w:pPr>
            <w:r>
              <w:rPr>
                <w:color w:val="008000"/>
                <w:sz w:val="20"/>
                <w:szCs w:val="20"/>
              </w:rPr>
              <w:t>31.10x</w:t>
            </w:r>
          </w:p>
        </w:tc>
        <w:tc>
          <w:tcPr>
            <w:tcW w:w="1540" w:type="dxa"/>
            <w:tcBorders>
              <w:top w:val="nil"/>
              <w:left w:val="nil"/>
              <w:bottom w:val="single" w:sz="4" w:space="0" w:color="AAAAAA"/>
              <w:right w:val="single" w:sz="4" w:space="0" w:color="AAAAAA"/>
            </w:tcBorders>
            <w:noWrap/>
            <w:vAlign w:val="center"/>
            <w:hideMark/>
          </w:tcPr>
          <w:p w14:paraId="43AED77C" w14:textId="77777777" w:rsidR="00941222" w:rsidRPr="00AA4851" w:rsidRDefault="00941222" w:rsidP="00AA4851">
            <w:pPr>
              <w:spacing w:line="360" w:lineRule="auto"/>
              <w:jc w:val="both"/>
              <w:rPr>
                <w:color w:val="008000"/>
                <w:sz w:val="20"/>
                <w:szCs w:val="20"/>
              </w:rPr>
            </w:pPr>
            <w:r>
              <w:rPr>
                <w:color w:val="008000"/>
                <w:sz w:val="20"/>
                <w:szCs w:val="20"/>
              </w:rPr>
              <w:t>14.08x</w:t>
            </w:r>
          </w:p>
        </w:tc>
        <w:tc>
          <w:tcPr>
            <w:tcW w:w="1760" w:type="dxa"/>
            <w:tcBorders>
              <w:top w:val="nil"/>
              <w:left w:val="nil"/>
              <w:bottom w:val="single" w:sz="4" w:space="0" w:color="AAAAAA"/>
              <w:right w:val="single" w:sz="4" w:space="0" w:color="AAAAAA"/>
            </w:tcBorders>
            <w:shd w:val="clear" w:color="F2F7FF" w:fill="EEF4FF"/>
            <w:noWrap/>
            <w:vAlign w:val="center"/>
            <w:hideMark/>
          </w:tcPr>
          <w:p w14:paraId="258D7EB9" w14:textId="77777777" w:rsidR="00941222" w:rsidRPr="00AA4851" w:rsidRDefault="00941222" w:rsidP="00AA4851">
            <w:pPr>
              <w:spacing w:line="360" w:lineRule="auto"/>
              <w:jc w:val="both"/>
              <w:rPr>
                <w:color w:val="0000FF"/>
                <w:sz w:val="20"/>
                <w:szCs w:val="20"/>
              </w:rPr>
            </w:pPr>
            <w:r>
              <w:rPr>
                <w:color w:val="0000FF"/>
                <w:sz w:val="20"/>
                <w:szCs w:val="20"/>
              </w:rPr>
              <w:t>14.27x</w:t>
            </w:r>
          </w:p>
        </w:tc>
      </w:tr>
      <w:tr w:rsidR="00941222" w:rsidRPr="00AA4851" w14:paraId="3BC634B0"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7123C565"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lastRenderedPageBreak/>
              <w:t>Payable Turnover (PTO)</w:t>
            </w:r>
          </w:p>
        </w:tc>
        <w:tc>
          <w:tcPr>
            <w:tcW w:w="1540" w:type="dxa"/>
            <w:tcBorders>
              <w:top w:val="nil"/>
              <w:left w:val="nil"/>
              <w:bottom w:val="single" w:sz="4" w:space="0" w:color="AAAAAA"/>
              <w:right w:val="single" w:sz="4" w:space="0" w:color="AAAAAA"/>
            </w:tcBorders>
            <w:noWrap/>
            <w:vAlign w:val="center"/>
            <w:hideMark/>
          </w:tcPr>
          <w:p w14:paraId="045896D3" w14:textId="77777777" w:rsidR="00941222" w:rsidRPr="00AA4851" w:rsidRDefault="00941222" w:rsidP="00AA4851">
            <w:pPr>
              <w:spacing w:line="360" w:lineRule="auto"/>
              <w:jc w:val="both"/>
              <w:rPr>
                <w:color w:val="008000"/>
                <w:sz w:val="20"/>
                <w:szCs w:val="20"/>
              </w:rPr>
            </w:pPr>
            <w:r>
              <w:rPr>
                <w:color w:val="008000"/>
                <w:sz w:val="20"/>
                <w:szCs w:val="20"/>
              </w:rPr>
              <w:t>2.04x</w:t>
            </w:r>
          </w:p>
        </w:tc>
        <w:tc>
          <w:tcPr>
            <w:tcW w:w="1540" w:type="dxa"/>
            <w:tcBorders>
              <w:top w:val="nil"/>
              <w:left w:val="nil"/>
              <w:bottom w:val="single" w:sz="4" w:space="0" w:color="AAAAAA"/>
              <w:right w:val="single" w:sz="4" w:space="0" w:color="AAAAAA"/>
            </w:tcBorders>
            <w:noWrap/>
            <w:vAlign w:val="center"/>
            <w:hideMark/>
          </w:tcPr>
          <w:p w14:paraId="559EDC1E" w14:textId="77777777" w:rsidR="00941222" w:rsidRPr="00AA4851" w:rsidRDefault="00941222" w:rsidP="00AA4851">
            <w:pPr>
              <w:spacing w:line="360" w:lineRule="auto"/>
              <w:jc w:val="both"/>
              <w:rPr>
                <w:color w:val="008000"/>
                <w:sz w:val="20"/>
                <w:szCs w:val="20"/>
              </w:rPr>
            </w:pPr>
            <w:r>
              <w:rPr>
                <w:color w:val="008000"/>
                <w:sz w:val="20"/>
                <w:szCs w:val="20"/>
              </w:rPr>
              <w:t>2.77x</w:t>
            </w:r>
          </w:p>
        </w:tc>
        <w:tc>
          <w:tcPr>
            <w:tcW w:w="1540" w:type="dxa"/>
            <w:tcBorders>
              <w:top w:val="nil"/>
              <w:left w:val="nil"/>
              <w:bottom w:val="single" w:sz="4" w:space="0" w:color="AAAAAA"/>
              <w:right w:val="single" w:sz="4" w:space="0" w:color="AAAAAA"/>
            </w:tcBorders>
            <w:noWrap/>
            <w:vAlign w:val="center"/>
            <w:hideMark/>
          </w:tcPr>
          <w:p w14:paraId="4A6F3EF8" w14:textId="77777777" w:rsidR="00941222" w:rsidRPr="00AA4851" w:rsidRDefault="00941222" w:rsidP="00AA4851">
            <w:pPr>
              <w:spacing w:line="360" w:lineRule="auto"/>
              <w:jc w:val="both"/>
              <w:rPr>
                <w:color w:val="008000"/>
                <w:sz w:val="20"/>
                <w:szCs w:val="20"/>
              </w:rPr>
            </w:pPr>
            <w:r>
              <w:rPr>
                <w:color w:val="008000"/>
                <w:sz w:val="20"/>
                <w:szCs w:val="20"/>
              </w:rPr>
              <w:t>2.51x</w:t>
            </w:r>
          </w:p>
        </w:tc>
        <w:tc>
          <w:tcPr>
            <w:tcW w:w="1760" w:type="dxa"/>
            <w:tcBorders>
              <w:top w:val="nil"/>
              <w:left w:val="nil"/>
              <w:bottom w:val="single" w:sz="4" w:space="0" w:color="AAAAAA"/>
              <w:right w:val="single" w:sz="4" w:space="0" w:color="AAAAAA"/>
            </w:tcBorders>
            <w:shd w:val="clear" w:color="F2F7FF" w:fill="EEF4FF"/>
            <w:noWrap/>
            <w:vAlign w:val="center"/>
            <w:hideMark/>
          </w:tcPr>
          <w:p w14:paraId="28CF824B" w14:textId="77777777" w:rsidR="00941222" w:rsidRPr="00AA4851" w:rsidRDefault="00941222" w:rsidP="00AA4851">
            <w:pPr>
              <w:spacing w:line="360" w:lineRule="auto"/>
              <w:jc w:val="both"/>
              <w:rPr>
                <w:color w:val="0000FF"/>
                <w:sz w:val="20"/>
                <w:szCs w:val="20"/>
              </w:rPr>
            </w:pPr>
            <w:r>
              <w:rPr>
                <w:color w:val="0000FF"/>
                <w:sz w:val="20"/>
                <w:szCs w:val="20"/>
              </w:rPr>
              <w:t>1.62x</w:t>
            </w:r>
          </w:p>
        </w:tc>
      </w:tr>
      <w:tr w:rsidR="00941222" w:rsidRPr="00AA4851" w14:paraId="14C858DC"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3DE01BAE"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Inventory Turnover (ITO)</w:t>
            </w:r>
          </w:p>
        </w:tc>
        <w:tc>
          <w:tcPr>
            <w:tcW w:w="1540" w:type="dxa"/>
            <w:tcBorders>
              <w:top w:val="nil"/>
              <w:left w:val="nil"/>
              <w:bottom w:val="single" w:sz="4" w:space="0" w:color="AAAAAA"/>
              <w:right w:val="single" w:sz="4" w:space="0" w:color="AAAAAA"/>
            </w:tcBorders>
            <w:noWrap/>
            <w:vAlign w:val="center"/>
            <w:hideMark/>
          </w:tcPr>
          <w:p w14:paraId="5992B096" w14:textId="77777777" w:rsidR="00941222" w:rsidRPr="00AA4851" w:rsidRDefault="00941222" w:rsidP="00AA4851">
            <w:pPr>
              <w:spacing w:line="360" w:lineRule="auto"/>
              <w:jc w:val="both"/>
              <w:rPr>
                <w:color w:val="008000"/>
                <w:sz w:val="20"/>
                <w:szCs w:val="20"/>
              </w:rPr>
            </w:pPr>
            <w:r>
              <w:rPr>
                <w:color w:val="008000"/>
                <w:sz w:val="20"/>
                <w:szCs w:val="20"/>
              </w:rPr>
              <w:t>9.86x</w:t>
            </w:r>
          </w:p>
        </w:tc>
        <w:tc>
          <w:tcPr>
            <w:tcW w:w="1540" w:type="dxa"/>
            <w:tcBorders>
              <w:top w:val="nil"/>
              <w:left w:val="nil"/>
              <w:bottom w:val="single" w:sz="4" w:space="0" w:color="AAAAAA"/>
              <w:right w:val="single" w:sz="4" w:space="0" w:color="AAAAAA"/>
            </w:tcBorders>
            <w:noWrap/>
            <w:vAlign w:val="center"/>
            <w:hideMark/>
          </w:tcPr>
          <w:p w14:paraId="6B8D442E" w14:textId="77777777" w:rsidR="00941222" w:rsidRPr="00AA4851" w:rsidRDefault="00941222" w:rsidP="00AA4851">
            <w:pPr>
              <w:spacing w:line="360" w:lineRule="auto"/>
              <w:jc w:val="both"/>
              <w:rPr>
                <w:color w:val="008000"/>
                <w:sz w:val="20"/>
                <w:szCs w:val="20"/>
              </w:rPr>
            </w:pPr>
            <w:r>
              <w:rPr>
                <w:color w:val="008000"/>
                <w:sz w:val="20"/>
                <w:szCs w:val="20"/>
              </w:rPr>
              <w:t>6.90x</w:t>
            </w:r>
          </w:p>
        </w:tc>
        <w:tc>
          <w:tcPr>
            <w:tcW w:w="1540" w:type="dxa"/>
            <w:tcBorders>
              <w:top w:val="nil"/>
              <w:left w:val="nil"/>
              <w:bottom w:val="single" w:sz="4" w:space="0" w:color="AAAAAA"/>
              <w:right w:val="single" w:sz="4" w:space="0" w:color="AAAAAA"/>
            </w:tcBorders>
            <w:noWrap/>
            <w:vAlign w:val="center"/>
            <w:hideMark/>
          </w:tcPr>
          <w:p w14:paraId="257D82D0" w14:textId="77777777" w:rsidR="00941222" w:rsidRPr="00AA4851" w:rsidRDefault="00941222" w:rsidP="00AA4851">
            <w:pPr>
              <w:spacing w:line="360" w:lineRule="auto"/>
              <w:jc w:val="both"/>
              <w:rPr>
                <w:color w:val="008000"/>
                <w:sz w:val="20"/>
                <w:szCs w:val="20"/>
              </w:rPr>
            </w:pPr>
            <w:r>
              <w:rPr>
                <w:color w:val="008000"/>
                <w:sz w:val="20"/>
                <w:szCs w:val="20"/>
              </w:rPr>
              <w:t>6.41x</w:t>
            </w:r>
          </w:p>
        </w:tc>
        <w:tc>
          <w:tcPr>
            <w:tcW w:w="1760" w:type="dxa"/>
            <w:tcBorders>
              <w:top w:val="nil"/>
              <w:left w:val="nil"/>
              <w:bottom w:val="single" w:sz="4" w:space="0" w:color="AAAAAA"/>
              <w:right w:val="single" w:sz="4" w:space="0" w:color="AAAAAA"/>
            </w:tcBorders>
            <w:shd w:val="clear" w:color="F2F7FF" w:fill="EEF4FF"/>
            <w:noWrap/>
            <w:vAlign w:val="center"/>
            <w:hideMark/>
          </w:tcPr>
          <w:p w14:paraId="5B1020D4" w14:textId="77777777" w:rsidR="00941222" w:rsidRPr="00AA4851" w:rsidRDefault="00941222" w:rsidP="00AA4851">
            <w:pPr>
              <w:spacing w:line="360" w:lineRule="auto"/>
              <w:jc w:val="both"/>
              <w:rPr>
                <w:color w:val="0000FF"/>
                <w:sz w:val="20"/>
                <w:szCs w:val="20"/>
              </w:rPr>
            </w:pPr>
            <w:r>
              <w:rPr>
                <w:color w:val="0000FF"/>
                <w:sz w:val="20"/>
                <w:szCs w:val="20"/>
              </w:rPr>
              <w:t>7.39x</w:t>
            </w:r>
          </w:p>
        </w:tc>
      </w:tr>
      <w:tr w:rsidR="00941222" w:rsidRPr="00AA4851" w14:paraId="675A914D" w14:textId="77777777" w:rsidTr="00941222">
        <w:trPr>
          <w:trHeight w:val="36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65059C5A"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Total Asset Turnover</w:t>
            </w:r>
          </w:p>
        </w:tc>
        <w:tc>
          <w:tcPr>
            <w:tcW w:w="1540" w:type="dxa"/>
            <w:tcBorders>
              <w:top w:val="nil"/>
              <w:left w:val="nil"/>
              <w:bottom w:val="single" w:sz="4" w:space="0" w:color="AAAAAA"/>
              <w:right w:val="single" w:sz="4" w:space="0" w:color="AAAAAA"/>
            </w:tcBorders>
            <w:noWrap/>
            <w:vAlign w:val="center"/>
            <w:hideMark/>
          </w:tcPr>
          <w:p w14:paraId="234C1DE3" w14:textId="77777777" w:rsidR="00941222" w:rsidRPr="00AA4851" w:rsidRDefault="00941222" w:rsidP="00AA4851">
            <w:pPr>
              <w:spacing w:line="360" w:lineRule="auto"/>
              <w:jc w:val="both"/>
              <w:rPr>
                <w:color w:val="008000"/>
                <w:sz w:val="20"/>
                <w:szCs w:val="20"/>
              </w:rPr>
            </w:pPr>
            <w:r>
              <w:rPr>
                <w:color w:val="008000"/>
                <w:sz w:val="20"/>
                <w:szCs w:val="20"/>
              </w:rPr>
              <w:t>1.39x</w:t>
            </w:r>
          </w:p>
        </w:tc>
        <w:tc>
          <w:tcPr>
            <w:tcW w:w="1540" w:type="dxa"/>
            <w:tcBorders>
              <w:top w:val="nil"/>
              <w:left w:val="nil"/>
              <w:bottom w:val="single" w:sz="4" w:space="0" w:color="AAAAAA"/>
              <w:right w:val="single" w:sz="4" w:space="0" w:color="AAAAAA"/>
            </w:tcBorders>
            <w:noWrap/>
            <w:vAlign w:val="center"/>
            <w:hideMark/>
          </w:tcPr>
          <w:p w14:paraId="3A23443D" w14:textId="77777777" w:rsidR="00941222" w:rsidRPr="00AA4851" w:rsidRDefault="00941222" w:rsidP="00AA4851">
            <w:pPr>
              <w:spacing w:line="360" w:lineRule="auto"/>
              <w:jc w:val="both"/>
              <w:rPr>
                <w:color w:val="008000"/>
                <w:sz w:val="20"/>
                <w:szCs w:val="20"/>
              </w:rPr>
            </w:pPr>
            <w:r>
              <w:rPr>
                <w:color w:val="008000"/>
                <w:sz w:val="20"/>
                <w:szCs w:val="20"/>
              </w:rPr>
              <w:t>1.50x</w:t>
            </w:r>
          </w:p>
        </w:tc>
        <w:tc>
          <w:tcPr>
            <w:tcW w:w="1540" w:type="dxa"/>
            <w:tcBorders>
              <w:top w:val="nil"/>
              <w:left w:val="nil"/>
              <w:bottom w:val="single" w:sz="4" w:space="0" w:color="AAAAAA"/>
              <w:right w:val="single" w:sz="4" w:space="0" w:color="AAAAAA"/>
            </w:tcBorders>
            <w:noWrap/>
            <w:vAlign w:val="center"/>
            <w:hideMark/>
          </w:tcPr>
          <w:p w14:paraId="75FDA988" w14:textId="77777777" w:rsidR="00941222" w:rsidRPr="00AA4851" w:rsidRDefault="00941222" w:rsidP="00AA4851">
            <w:pPr>
              <w:spacing w:line="360" w:lineRule="auto"/>
              <w:jc w:val="both"/>
              <w:rPr>
                <w:color w:val="008000"/>
                <w:sz w:val="20"/>
                <w:szCs w:val="20"/>
              </w:rPr>
            </w:pPr>
            <w:r>
              <w:rPr>
                <w:color w:val="008000"/>
                <w:sz w:val="20"/>
                <w:szCs w:val="20"/>
              </w:rPr>
              <w:t>1.19x</w:t>
            </w:r>
          </w:p>
        </w:tc>
        <w:tc>
          <w:tcPr>
            <w:tcW w:w="1760" w:type="dxa"/>
            <w:tcBorders>
              <w:top w:val="nil"/>
              <w:left w:val="nil"/>
              <w:bottom w:val="single" w:sz="4" w:space="0" w:color="AAAAAA"/>
              <w:right w:val="single" w:sz="4" w:space="0" w:color="AAAAAA"/>
            </w:tcBorders>
            <w:shd w:val="clear" w:color="F2F7FF" w:fill="EEF4FF"/>
            <w:noWrap/>
            <w:vAlign w:val="center"/>
            <w:hideMark/>
          </w:tcPr>
          <w:p w14:paraId="1F5DAA4A" w14:textId="77777777" w:rsidR="00941222" w:rsidRPr="00AA4851" w:rsidRDefault="00941222" w:rsidP="00AA4851">
            <w:pPr>
              <w:spacing w:line="360" w:lineRule="auto"/>
              <w:jc w:val="both"/>
              <w:rPr>
                <w:color w:val="0000FF"/>
                <w:sz w:val="20"/>
                <w:szCs w:val="20"/>
              </w:rPr>
            </w:pPr>
            <w:r>
              <w:rPr>
                <w:color w:val="0000FF"/>
                <w:sz w:val="20"/>
                <w:szCs w:val="20"/>
              </w:rPr>
              <w:t>0.79x</w:t>
            </w:r>
          </w:p>
        </w:tc>
      </w:tr>
    </w:tbl>
    <w:p w14:paraId="57344FC8" w14:textId="77777777" w:rsidR="00941222" w:rsidRPr="00AA4851" w:rsidRDefault="00941222" w:rsidP="00AA4851">
      <w:pPr>
        <w:spacing w:before="240" w:after="80" w:line="360" w:lineRule="auto"/>
        <w:jc w:val="both"/>
        <w:rPr>
          <w:rFonts w:eastAsia="Arial"/>
          <w:b/>
          <w:bCs/>
          <w:sz w:val="22"/>
          <w:szCs w:val="22"/>
        </w:rPr>
      </w:pPr>
    </w:p>
    <w:p w14:paraId="4039BE57" w14:textId="77777777" w:rsidR="00941222" w:rsidRPr="00AA4851" w:rsidRDefault="00941222" w:rsidP="00AA4851">
      <w:pPr>
        <w:spacing w:before="240" w:after="80" w:line="360" w:lineRule="auto"/>
        <w:jc w:val="both"/>
      </w:pPr>
    </w:p>
    <w:p w14:paraId="5FBCAE49" w14:textId="77777777" w:rsidR="00976955" w:rsidRDefault="00941222" w:rsidP="00976955">
      <w:pPr>
        <w:keepNext/>
        <w:spacing w:before="60" w:after="160" w:line="360" w:lineRule="auto"/>
        <w:jc w:val="center"/>
      </w:pPr>
      <w:r>
        <w:rPr>
          <w:i/>
          <w:iCs/>
          <w:noProof/>
          <w:color w:val="595959"/>
          <w:sz w:val="20"/>
          <w:szCs w:val="20"/>
        </w:rPr>
        <w:drawing>
          <wp:inline distT="0" distB="0" distL="0" distR="0" wp14:anchorId="15A854B5" wp14:editId="75C66E74">
            <wp:extent cx="3835597" cy="2305168"/>
            <wp:effectExtent l="0" t="0" r="0" b="0"/>
            <wp:docPr id="9154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65299" name=""/>
                    <pic:cNvPicPr/>
                  </pic:nvPicPr>
                  <pic:blipFill>
                    <a:blip r:embed="rId12"/>
                    <a:stretch>
                      <a:fillRect/>
                    </a:stretch>
                  </pic:blipFill>
                  <pic:spPr>
                    <a:xfrm>
                      <a:off x="0" y="0"/>
                      <a:ext cx="3835597" cy="2305168"/>
                    </a:xfrm>
                    <a:prstGeom prst="rect">
                      <a:avLst/>
                    </a:prstGeom>
                  </pic:spPr>
                </pic:pic>
              </a:graphicData>
            </a:graphic>
          </wp:inline>
        </w:drawing>
      </w:r>
    </w:p>
    <w:p w14:paraId="1A1F842C" w14:textId="3A0C72B1" w:rsidR="00941222" w:rsidRPr="00976955" w:rsidRDefault="00976955" w:rsidP="00976955">
      <w:pPr>
        <w:pStyle w:val="Caption"/>
        <w:keepNext/>
        <w:jc w:val="center"/>
        <w:rPr>
          <w:sz w:val="24"/>
          <w:szCs w:val="24"/>
        </w:rPr>
      </w:pPr>
      <w:bookmarkStart w:id="27" w:name="_Toc229826430"/>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4</w:t>
      </w:r>
      <w:r w:rsidRPr="00976955">
        <w:rPr>
          <w:sz w:val="24"/>
          <w:szCs w:val="24"/>
        </w:rPr>
        <w:fldChar w:fldCharType="end"/>
      </w:r>
      <w:r w:rsidRPr="00976955">
        <w:rPr>
          <w:sz w:val="24"/>
          <w:szCs w:val="24"/>
        </w:rPr>
        <w:t xml:space="preserve"> Activity Ratios</w:t>
      </w:r>
      <w:bookmarkEnd w:id="27"/>
    </w:p>
    <w:p w14:paraId="726A832B" w14:textId="4293A44E" w:rsidR="00976955" w:rsidRPr="00976955" w:rsidRDefault="00976955" w:rsidP="00976955">
      <w:pPr>
        <w:pStyle w:val="Caption"/>
        <w:keepNext/>
        <w:jc w:val="center"/>
        <w:rPr>
          <w:sz w:val="24"/>
          <w:szCs w:val="24"/>
        </w:rPr>
      </w:pPr>
      <w:bookmarkStart w:id="28" w:name="_Toc229826579"/>
      <w:r w:rsidRPr="00976955">
        <w:rPr>
          <w:sz w:val="24"/>
          <w:szCs w:val="24"/>
        </w:rPr>
        <w:t xml:space="preserve">Table </w:t>
      </w:r>
      <w:r w:rsidRPr="00976955">
        <w:rPr>
          <w:sz w:val="24"/>
          <w:szCs w:val="24"/>
        </w:rPr>
        <w:fldChar w:fldCharType="begin"/>
      </w:r>
      <w:r w:rsidRPr="00976955">
        <w:rPr>
          <w:sz w:val="24"/>
          <w:szCs w:val="24"/>
        </w:rPr>
        <w:instrText xml:space="preserve"> SEQ Table \* ARABIC </w:instrText>
      </w:r>
      <w:r w:rsidRPr="00976955">
        <w:rPr>
          <w:sz w:val="24"/>
          <w:szCs w:val="24"/>
        </w:rPr>
        <w:fldChar w:fldCharType="separate"/>
      </w:r>
      <w:r w:rsidRPr="00976955">
        <w:rPr>
          <w:sz w:val="24"/>
          <w:szCs w:val="24"/>
        </w:rPr>
        <w:t>5</w:t>
      </w:r>
      <w:r w:rsidRPr="00976955">
        <w:rPr>
          <w:sz w:val="24"/>
          <w:szCs w:val="24"/>
        </w:rPr>
        <w:fldChar w:fldCharType="end"/>
      </w:r>
      <w:r w:rsidRPr="00976955">
        <w:rPr>
          <w:sz w:val="24"/>
          <w:szCs w:val="24"/>
        </w:rPr>
        <w:t xml:space="preserve"> Activity </w:t>
      </w:r>
      <w:proofErr w:type="gramStart"/>
      <w:r w:rsidRPr="00976955">
        <w:rPr>
          <w:sz w:val="24"/>
          <w:szCs w:val="24"/>
        </w:rPr>
        <w:t>Ratios(</w:t>
      </w:r>
      <w:proofErr w:type="gramEnd"/>
      <w:r w:rsidRPr="00976955">
        <w:rPr>
          <w:sz w:val="24"/>
          <w:szCs w:val="24"/>
        </w:rPr>
        <w:t>Days)</w:t>
      </w:r>
      <w:bookmarkEnd w:id="28"/>
    </w:p>
    <w:tbl>
      <w:tblPr>
        <w:tblW w:w="10120" w:type="dxa"/>
        <w:jc w:val="center"/>
        <w:tblLook w:val="04A0" w:firstRow="1" w:lastRow="0" w:firstColumn="1" w:lastColumn="0" w:noHBand="0" w:noVBand="1"/>
      </w:tblPr>
      <w:tblGrid>
        <w:gridCol w:w="3842"/>
        <w:gridCol w:w="1521"/>
        <w:gridCol w:w="1516"/>
        <w:gridCol w:w="1515"/>
        <w:gridCol w:w="1726"/>
      </w:tblGrid>
      <w:tr w:rsidR="00941222" w:rsidRPr="00AA4851" w14:paraId="17A82667" w14:textId="77777777" w:rsidTr="00941222">
        <w:trPr>
          <w:trHeight w:val="360"/>
          <w:jc w:val="center"/>
        </w:trPr>
        <w:tc>
          <w:tcPr>
            <w:tcW w:w="10120" w:type="dxa"/>
            <w:gridSpan w:val="5"/>
            <w:tcBorders>
              <w:top w:val="single" w:sz="4" w:space="0" w:color="AAAAAA"/>
              <w:left w:val="single" w:sz="4" w:space="0" w:color="AAAAAA"/>
              <w:bottom w:val="single" w:sz="4" w:space="0" w:color="AAAAAA"/>
              <w:right w:val="nil"/>
            </w:tcBorders>
            <w:shd w:val="clear" w:color="D0E8F5" w:fill="BDD7EE"/>
            <w:noWrap/>
            <w:vAlign w:val="center"/>
            <w:hideMark/>
          </w:tcPr>
          <w:p w14:paraId="1B1BE18A" w14:textId="77777777" w:rsidR="00941222" w:rsidRPr="00AA4851" w:rsidRDefault="00941222" w:rsidP="00AA4851">
            <w:pPr>
              <w:spacing w:line="360" w:lineRule="auto"/>
              <w:jc w:val="both"/>
              <w:rPr>
                <w:b/>
                <w:bCs/>
                <w:color w:val="1F4E79"/>
                <w:sz w:val="20"/>
                <w:szCs w:val="20"/>
              </w:rPr>
            </w:pPr>
            <w:r>
              <w:rPr>
                <w:b/>
                <w:bCs/>
                <w:color w:val="1F4E79"/>
                <w:sz w:val="20"/>
                <w:szCs w:val="20"/>
              </w:rPr>
              <w:t>D. ACTIVITY / EFFICIENCY RATIOS(Days)</w:t>
            </w:r>
          </w:p>
        </w:tc>
      </w:tr>
      <w:tr w:rsidR="00941222" w:rsidRPr="00AA4851" w14:paraId="07BD8E70" w14:textId="77777777" w:rsidTr="00941222">
        <w:trPr>
          <w:trHeight w:val="360"/>
          <w:jc w:val="center"/>
        </w:trPr>
        <w:tc>
          <w:tcPr>
            <w:tcW w:w="3842" w:type="dxa"/>
            <w:tcBorders>
              <w:top w:val="nil"/>
              <w:left w:val="single" w:sz="4" w:space="0" w:color="AAAAAA"/>
              <w:bottom w:val="single" w:sz="4" w:space="0" w:color="AAAAAA"/>
              <w:right w:val="nil"/>
            </w:tcBorders>
            <w:shd w:val="clear" w:color="D0E8F5" w:fill="BDD7EE"/>
            <w:noWrap/>
            <w:vAlign w:val="center"/>
            <w:hideMark/>
          </w:tcPr>
          <w:p w14:paraId="28D60AE5" w14:textId="77777777" w:rsidR="00941222" w:rsidRPr="00AA4851" w:rsidRDefault="00941222" w:rsidP="00AA4851">
            <w:pPr>
              <w:spacing w:line="360" w:lineRule="auto"/>
              <w:jc w:val="both"/>
              <w:rPr>
                <w:b/>
                <w:bCs/>
                <w:color w:val="1F4E79"/>
                <w:sz w:val="20"/>
                <w:szCs w:val="20"/>
              </w:rPr>
            </w:pPr>
            <w:r>
              <w:rPr>
                <w:b/>
                <w:bCs/>
                <w:color w:val="1F4E79"/>
                <w:sz w:val="20"/>
                <w:szCs w:val="20"/>
              </w:rPr>
              <w:t> </w:t>
            </w:r>
          </w:p>
        </w:tc>
        <w:tc>
          <w:tcPr>
            <w:tcW w:w="4552" w:type="dxa"/>
            <w:gridSpan w:val="3"/>
            <w:tcBorders>
              <w:top w:val="single" w:sz="4" w:space="0" w:color="AAAAAA"/>
              <w:left w:val="single" w:sz="4" w:space="0" w:color="AAAAAA"/>
              <w:bottom w:val="single" w:sz="4" w:space="0" w:color="AAAAAA"/>
              <w:right w:val="single" w:sz="4" w:space="0" w:color="AAAAAA"/>
            </w:tcBorders>
            <w:shd w:val="clear" w:color="D0E8F5" w:fill="BDD7EE"/>
            <w:noWrap/>
            <w:vAlign w:val="center"/>
            <w:hideMark/>
          </w:tcPr>
          <w:p w14:paraId="366CC5FD" w14:textId="77777777" w:rsidR="00941222" w:rsidRPr="00AA4851" w:rsidRDefault="00941222" w:rsidP="00AA4851">
            <w:pPr>
              <w:spacing w:line="360" w:lineRule="auto"/>
              <w:jc w:val="both"/>
              <w:rPr>
                <w:b/>
                <w:bCs/>
                <w:color w:val="1F4E79"/>
                <w:sz w:val="20"/>
                <w:szCs w:val="20"/>
              </w:rPr>
            </w:pPr>
            <w:r>
              <w:rPr>
                <w:b/>
                <w:bCs/>
                <w:color w:val="1F4E79"/>
                <w:sz w:val="20"/>
                <w:szCs w:val="20"/>
              </w:rPr>
              <w:t>ENGRO</w:t>
            </w:r>
          </w:p>
        </w:tc>
        <w:tc>
          <w:tcPr>
            <w:tcW w:w="1726" w:type="dxa"/>
            <w:tcBorders>
              <w:top w:val="nil"/>
              <w:left w:val="nil"/>
              <w:bottom w:val="single" w:sz="4" w:space="0" w:color="AAAAAA"/>
              <w:right w:val="nil"/>
            </w:tcBorders>
            <w:shd w:val="clear" w:color="D0E8F5" w:fill="BDD7EE"/>
            <w:noWrap/>
            <w:vAlign w:val="center"/>
            <w:hideMark/>
          </w:tcPr>
          <w:p w14:paraId="05F449BD" w14:textId="77777777" w:rsidR="00941222" w:rsidRPr="00AA4851" w:rsidRDefault="00941222" w:rsidP="00AA4851">
            <w:pPr>
              <w:spacing w:line="360" w:lineRule="auto"/>
              <w:jc w:val="both"/>
              <w:rPr>
                <w:b/>
                <w:bCs/>
                <w:color w:val="1F4E79"/>
                <w:sz w:val="20"/>
                <w:szCs w:val="20"/>
              </w:rPr>
            </w:pPr>
            <w:r>
              <w:rPr>
                <w:b/>
                <w:bCs/>
                <w:color w:val="1F4E79"/>
                <w:sz w:val="20"/>
                <w:szCs w:val="20"/>
              </w:rPr>
              <w:t>FFC</w:t>
            </w:r>
          </w:p>
        </w:tc>
      </w:tr>
      <w:tr w:rsidR="00941222" w:rsidRPr="00AA4851" w14:paraId="4324F555" w14:textId="77777777" w:rsidTr="00941222">
        <w:trPr>
          <w:trHeight w:val="360"/>
          <w:jc w:val="center"/>
        </w:trPr>
        <w:tc>
          <w:tcPr>
            <w:tcW w:w="3842" w:type="dxa"/>
            <w:tcBorders>
              <w:top w:val="nil"/>
              <w:left w:val="single" w:sz="4" w:space="0" w:color="AAAAAA"/>
              <w:bottom w:val="single" w:sz="4" w:space="0" w:color="AAAAAA"/>
              <w:right w:val="single" w:sz="4" w:space="0" w:color="AAAAAA"/>
            </w:tcBorders>
            <w:shd w:val="clear" w:color="4F81BD" w:fill="2E75B6"/>
            <w:vAlign w:val="center"/>
            <w:hideMark/>
          </w:tcPr>
          <w:p w14:paraId="0E0E09B3" w14:textId="77777777" w:rsidR="00941222" w:rsidRPr="00AA4851" w:rsidRDefault="00941222" w:rsidP="00AA4851">
            <w:pPr>
              <w:spacing w:line="360" w:lineRule="auto"/>
              <w:jc w:val="both"/>
              <w:rPr>
                <w:b/>
                <w:bCs/>
                <w:color w:val="FFFFFF"/>
                <w:sz w:val="22"/>
                <w:szCs w:val="22"/>
              </w:rPr>
            </w:pPr>
            <w:r>
              <w:rPr>
                <w:b/>
                <w:bCs/>
                <w:color w:val="FFFFFF"/>
                <w:sz w:val="22"/>
                <w:szCs w:val="22"/>
              </w:rPr>
              <w:t>Ratio</w:t>
            </w:r>
          </w:p>
        </w:tc>
        <w:tc>
          <w:tcPr>
            <w:tcW w:w="1521" w:type="dxa"/>
            <w:tcBorders>
              <w:top w:val="nil"/>
              <w:left w:val="nil"/>
              <w:bottom w:val="single" w:sz="4" w:space="0" w:color="AAAAAA"/>
              <w:right w:val="single" w:sz="4" w:space="0" w:color="AAAAAA"/>
            </w:tcBorders>
            <w:shd w:val="clear" w:color="4F81BD" w:fill="2E75B6"/>
            <w:vAlign w:val="center"/>
            <w:hideMark/>
          </w:tcPr>
          <w:p w14:paraId="4B96D58B" w14:textId="77777777" w:rsidR="00941222" w:rsidRPr="00AA4851" w:rsidRDefault="00941222" w:rsidP="00AA4851">
            <w:pPr>
              <w:spacing w:line="360" w:lineRule="auto"/>
              <w:jc w:val="both"/>
              <w:rPr>
                <w:b/>
                <w:bCs/>
                <w:color w:val="FFFFFF"/>
                <w:sz w:val="22"/>
                <w:szCs w:val="22"/>
              </w:rPr>
            </w:pPr>
            <w:r>
              <w:rPr>
                <w:b/>
                <w:bCs/>
                <w:color w:val="FFFFFF"/>
                <w:sz w:val="22"/>
                <w:szCs w:val="22"/>
              </w:rPr>
              <w:t>ENGRO 2023</w:t>
            </w:r>
          </w:p>
        </w:tc>
        <w:tc>
          <w:tcPr>
            <w:tcW w:w="1516" w:type="dxa"/>
            <w:tcBorders>
              <w:top w:val="nil"/>
              <w:left w:val="nil"/>
              <w:bottom w:val="single" w:sz="4" w:space="0" w:color="AAAAAA"/>
              <w:right w:val="single" w:sz="4" w:space="0" w:color="AAAAAA"/>
            </w:tcBorders>
            <w:shd w:val="clear" w:color="4F81BD" w:fill="2E75B6"/>
            <w:vAlign w:val="center"/>
            <w:hideMark/>
          </w:tcPr>
          <w:p w14:paraId="748B1434" w14:textId="77777777" w:rsidR="00941222" w:rsidRPr="00AA4851" w:rsidRDefault="00941222" w:rsidP="00AA4851">
            <w:pPr>
              <w:spacing w:line="360" w:lineRule="auto"/>
              <w:jc w:val="both"/>
              <w:rPr>
                <w:b/>
                <w:bCs/>
                <w:color w:val="FFFFFF"/>
                <w:sz w:val="22"/>
                <w:szCs w:val="22"/>
              </w:rPr>
            </w:pPr>
            <w:r>
              <w:rPr>
                <w:b/>
                <w:bCs/>
                <w:color w:val="FFFFFF"/>
                <w:sz w:val="22"/>
                <w:szCs w:val="22"/>
              </w:rPr>
              <w:t>ENGRO 2024</w:t>
            </w:r>
          </w:p>
        </w:tc>
        <w:tc>
          <w:tcPr>
            <w:tcW w:w="1515" w:type="dxa"/>
            <w:tcBorders>
              <w:top w:val="nil"/>
              <w:left w:val="nil"/>
              <w:bottom w:val="single" w:sz="4" w:space="0" w:color="AAAAAA"/>
              <w:right w:val="single" w:sz="4" w:space="0" w:color="AAAAAA"/>
            </w:tcBorders>
            <w:shd w:val="clear" w:color="4F81BD" w:fill="2E75B6"/>
            <w:vAlign w:val="center"/>
            <w:hideMark/>
          </w:tcPr>
          <w:p w14:paraId="1692FF83" w14:textId="77777777" w:rsidR="00941222" w:rsidRPr="00AA4851" w:rsidRDefault="00941222" w:rsidP="00AA4851">
            <w:pPr>
              <w:spacing w:line="360" w:lineRule="auto"/>
              <w:jc w:val="both"/>
              <w:rPr>
                <w:b/>
                <w:bCs/>
                <w:color w:val="FFFFFF"/>
                <w:sz w:val="22"/>
                <w:szCs w:val="22"/>
              </w:rPr>
            </w:pPr>
            <w:r>
              <w:rPr>
                <w:b/>
                <w:bCs/>
                <w:color w:val="FFFFFF"/>
                <w:sz w:val="22"/>
                <w:szCs w:val="22"/>
              </w:rPr>
              <w:t>ENGRO 2025</w:t>
            </w:r>
          </w:p>
        </w:tc>
        <w:tc>
          <w:tcPr>
            <w:tcW w:w="1726" w:type="dxa"/>
            <w:tcBorders>
              <w:top w:val="nil"/>
              <w:left w:val="nil"/>
              <w:bottom w:val="single" w:sz="4" w:space="0" w:color="AAAAAA"/>
              <w:right w:val="single" w:sz="4" w:space="0" w:color="AAAAAA"/>
            </w:tcBorders>
            <w:shd w:val="clear" w:color="4F81BD" w:fill="2E75B6"/>
            <w:vAlign w:val="center"/>
            <w:hideMark/>
          </w:tcPr>
          <w:p w14:paraId="2060F85E" w14:textId="77777777" w:rsidR="00941222" w:rsidRPr="00AA4851" w:rsidRDefault="00941222" w:rsidP="00AA4851">
            <w:pPr>
              <w:spacing w:line="360" w:lineRule="auto"/>
              <w:jc w:val="both"/>
              <w:rPr>
                <w:b/>
                <w:bCs/>
                <w:color w:val="FFFFFF"/>
                <w:sz w:val="22"/>
                <w:szCs w:val="22"/>
              </w:rPr>
            </w:pPr>
            <w:r>
              <w:rPr>
                <w:b/>
                <w:bCs/>
                <w:color w:val="FFFFFF"/>
                <w:sz w:val="22"/>
                <w:szCs w:val="22"/>
              </w:rPr>
              <w:t>FFC 2025</w:t>
            </w:r>
          </w:p>
        </w:tc>
      </w:tr>
      <w:tr w:rsidR="00941222" w:rsidRPr="00AA4851" w14:paraId="5C30797E" w14:textId="77777777" w:rsidTr="00941222">
        <w:trPr>
          <w:trHeight w:val="360"/>
          <w:jc w:val="center"/>
        </w:trPr>
        <w:tc>
          <w:tcPr>
            <w:tcW w:w="3842" w:type="dxa"/>
            <w:tcBorders>
              <w:top w:val="nil"/>
              <w:left w:val="single" w:sz="4" w:space="0" w:color="AAAAAA"/>
              <w:bottom w:val="single" w:sz="4" w:space="0" w:color="AAAAAA"/>
              <w:right w:val="single" w:sz="4" w:space="0" w:color="AAAAAA"/>
            </w:tcBorders>
            <w:shd w:val="clear" w:color="FAFAFA" w:fill="F7FBFF"/>
            <w:noWrap/>
            <w:vAlign w:val="center"/>
            <w:hideMark/>
          </w:tcPr>
          <w:p w14:paraId="7BE486C8"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Average Collection Period (ACP)</w:t>
            </w:r>
          </w:p>
        </w:tc>
        <w:tc>
          <w:tcPr>
            <w:tcW w:w="1521" w:type="dxa"/>
            <w:tcBorders>
              <w:top w:val="nil"/>
              <w:left w:val="nil"/>
              <w:bottom w:val="single" w:sz="4" w:space="0" w:color="AAAAAA"/>
              <w:right w:val="single" w:sz="4" w:space="0" w:color="AAAAAA"/>
            </w:tcBorders>
            <w:noWrap/>
            <w:vAlign w:val="center"/>
            <w:hideMark/>
          </w:tcPr>
          <w:p w14:paraId="09139CBF" w14:textId="77777777" w:rsidR="00941222" w:rsidRPr="00AA4851" w:rsidRDefault="00941222" w:rsidP="00AA4851">
            <w:pPr>
              <w:spacing w:line="360" w:lineRule="auto"/>
              <w:jc w:val="both"/>
              <w:rPr>
                <w:color w:val="008000"/>
                <w:sz w:val="20"/>
                <w:szCs w:val="20"/>
              </w:rPr>
            </w:pPr>
            <w:r>
              <w:rPr>
                <w:color w:val="008000"/>
                <w:sz w:val="20"/>
                <w:szCs w:val="20"/>
              </w:rPr>
              <w:t>4.8 days</w:t>
            </w:r>
          </w:p>
        </w:tc>
        <w:tc>
          <w:tcPr>
            <w:tcW w:w="1516" w:type="dxa"/>
            <w:tcBorders>
              <w:top w:val="nil"/>
              <w:left w:val="nil"/>
              <w:bottom w:val="single" w:sz="4" w:space="0" w:color="AAAAAA"/>
              <w:right w:val="single" w:sz="4" w:space="0" w:color="AAAAAA"/>
            </w:tcBorders>
            <w:noWrap/>
            <w:vAlign w:val="center"/>
            <w:hideMark/>
          </w:tcPr>
          <w:p w14:paraId="5071090D" w14:textId="77777777" w:rsidR="00941222" w:rsidRPr="00AA4851" w:rsidRDefault="00941222" w:rsidP="00AA4851">
            <w:pPr>
              <w:spacing w:line="360" w:lineRule="auto"/>
              <w:jc w:val="both"/>
              <w:rPr>
                <w:color w:val="008000"/>
                <w:sz w:val="20"/>
                <w:szCs w:val="20"/>
              </w:rPr>
            </w:pPr>
            <w:r>
              <w:rPr>
                <w:color w:val="008000"/>
                <w:sz w:val="20"/>
                <w:szCs w:val="20"/>
              </w:rPr>
              <w:t>11.7 days</w:t>
            </w:r>
          </w:p>
        </w:tc>
        <w:tc>
          <w:tcPr>
            <w:tcW w:w="1515" w:type="dxa"/>
            <w:tcBorders>
              <w:top w:val="nil"/>
              <w:left w:val="nil"/>
              <w:bottom w:val="single" w:sz="4" w:space="0" w:color="AAAAAA"/>
              <w:right w:val="single" w:sz="4" w:space="0" w:color="AAAAAA"/>
            </w:tcBorders>
            <w:noWrap/>
            <w:vAlign w:val="center"/>
            <w:hideMark/>
          </w:tcPr>
          <w:p w14:paraId="1B75245F" w14:textId="77777777" w:rsidR="00941222" w:rsidRPr="00AA4851" w:rsidRDefault="00941222" w:rsidP="00AA4851">
            <w:pPr>
              <w:spacing w:line="360" w:lineRule="auto"/>
              <w:jc w:val="both"/>
              <w:rPr>
                <w:color w:val="008000"/>
                <w:sz w:val="20"/>
                <w:szCs w:val="20"/>
              </w:rPr>
            </w:pPr>
            <w:r>
              <w:rPr>
                <w:color w:val="008000"/>
                <w:sz w:val="20"/>
                <w:szCs w:val="20"/>
              </w:rPr>
              <w:t>25.9 days</w:t>
            </w:r>
          </w:p>
        </w:tc>
        <w:tc>
          <w:tcPr>
            <w:tcW w:w="1726" w:type="dxa"/>
            <w:tcBorders>
              <w:top w:val="nil"/>
              <w:left w:val="nil"/>
              <w:bottom w:val="single" w:sz="4" w:space="0" w:color="AAAAAA"/>
              <w:right w:val="single" w:sz="4" w:space="0" w:color="AAAAAA"/>
            </w:tcBorders>
            <w:shd w:val="clear" w:color="F2F7FF" w:fill="EEF4FF"/>
            <w:noWrap/>
            <w:vAlign w:val="center"/>
            <w:hideMark/>
          </w:tcPr>
          <w:p w14:paraId="78011285" w14:textId="77777777" w:rsidR="00941222" w:rsidRPr="00AA4851" w:rsidRDefault="00941222" w:rsidP="00AA4851">
            <w:pPr>
              <w:spacing w:line="360" w:lineRule="auto"/>
              <w:jc w:val="both"/>
              <w:rPr>
                <w:color w:val="0000FF"/>
                <w:sz w:val="20"/>
                <w:szCs w:val="20"/>
              </w:rPr>
            </w:pPr>
            <w:r>
              <w:rPr>
                <w:color w:val="0000FF"/>
                <w:sz w:val="20"/>
                <w:szCs w:val="20"/>
              </w:rPr>
              <w:t>25.6 days</w:t>
            </w:r>
          </w:p>
        </w:tc>
      </w:tr>
      <w:tr w:rsidR="00941222" w:rsidRPr="00AA4851" w14:paraId="67A19F3D" w14:textId="77777777" w:rsidTr="00941222">
        <w:trPr>
          <w:trHeight w:val="290"/>
          <w:jc w:val="center"/>
        </w:trPr>
        <w:tc>
          <w:tcPr>
            <w:tcW w:w="3842" w:type="dxa"/>
            <w:tcBorders>
              <w:top w:val="nil"/>
              <w:left w:val="single" w:sz="4" w:space="0" w:color="AAAAAA"/>
              <w:bottom w:val="single" w:sz="4" w:space="0" w:color="AAAAAA"/>
              <w:right w:val="single" w:sz="4" w:space="0" w:color="AAAAAA"/>
            </w:tcBorders>
            <w:shd w:val="clear" w:color="FAFAFA" w:fill="F7FBFF"/>
            <w:noWrap/>
            <w:vAlign w:val="center"/>
            <w:hideMark/>
          </w:tcPr>
          <w:p w14:paraId="4AB1B64F"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Payable Turnover in Days (PTO days)</w:t>
            </w:r>
          </w:p>
        </w:tc>
        <w:tc>
          <w:tcPr>
            <w:tcW w:w="1521" w:type="dxa"/>
            <w:tcBorders>
              <w:top w:val="nil"/>
              <w:left w:val="nil"/>
              <w:bottom w:val="single" w:sz="4" w:space="0" w:color="AAAAAA"/>
              <w:right w:val="single" w:sz="4" w:space="0" w:color="AAAAAA"/>
            </w:tcBorders>
            <w:noWrap/>
            <w:vAlign w:val="center"/>
            <w:hideMark/>
          </w:tcPr>
          <w:p w14:paraId="1EABBEE1" w14:textId="77777777" w:rsidR="00941222" w:rsidRPr="00AA4851" w:rsidRDefault="00941222" w:rsidP="00AA4851">
            <w:pPr>
              <w:spacing w:line="360" w:lineRule="auto"/>
              <w:jc w:val="both"/>
              <w:rPr>
                <w:color w:val="008000"/>
                <w:sz w:val="20"/>
                <w:szCs w:val="20"/>
              </w:rPr>
            </w:pPr>
            <w:r>
              <w:rPr>
                <w:color w:val="008000"/>
                <w:sz w:val="20"/>
                <w:szCs w:val="20"/>
              </w:rPr>
              <w:t>178.6 days</w:t>
            </w:r>
          </w:p>
        </w:tc>
        <w:tc>
          <w:tcPr>
            <w:tcW w:w="1516" w:type="dxa"/>
            <w:tcBorders>
              <w:top w:val="nil"/>
              <w:left w:val="nil"/>
              <w:bottom w:val="single" w:sz="4" w:space="0" w:color="AAAAAA"/>
              <w:right w:val="single" w:sz="4" w:space="0" w:color="AAAAAA"/>
            </w:tcBorders>
            <w:noWrap/>
            <w:vAlign w:val="center"/>
            <w:hideMark/>
          </w:tcPr>
          <w:p w14:paraId="3DC690D6" w14:textId="77777777" w:rsidR="00941222" w:rsidRPr="00AA4851" w:rsidRDefault="00941222" w:rsidP="00AA4851">
            <w:pPr>
              <w:spacing w:line="360" w:lineRule="auto"/>
              <w:jc w:val="both"/>
              <w:rPr>
                <w:color w:val="008000"/>
                <w:sz w:val="20"/>
                <w:szCs w:val="20"/>
              </w:rPr>
            </w:pPr>
            <w:r>
              <w:rPr>
                <w:color w:val="008000"/>
                <w:sz w:val="20"/>
                <w:szCs w:val="20"/>
              </w:rPr>
              <w:t>131.8 days</w:t>
            </w:r>
          </w:p>
        </w:tc>
        <w:tc>
          <w:tcPr>
            <w:tcW w:w="1515" w:type="dxa"/>
            <w:tcBorders>
              <w:top w:val="nil"/>
              <w:left w:val="nil"/>
              <w:bottom w:val="single" w:sz="4" w:space="0" w:color="AAAAAA"/>
              <w:right w:val="single" w:sz="4" w:space="0" w:color="AAAAAA"/>
            </w:tcBorders>
            <w:noWrap/>
            <w:vAlign w:val="center"/>
            <w:hideMark/>
          </w:tcPr>
          <w:p w14:paraId="05AF2615" w14:textId="77777777" w:rsidR="00941222" w:rsidRPr="00AA4851" w:rsidRDefault="00941222" w:rsidP="00AA4851">
            <w:pPr>
              <w:spacing w:line="360" w:lineRule="auto"/>
              <w:jc w:val="both"/>
              <w:rPr>
                <w:color w:val="008000"/>
                <w:sz w:val="20"/>
                <w:szCs w:val="20"/>
              </w:rPr>
            </w:pPr>
            <w:r>
              <w:rPr>
                <w:color w:val="008000"/>
                <w:sz w:val="20"/>
                <w:szCs w:val="20"/>
              </w:rPr>
              <w:t>145.7 days</w:t>
            </w:r>
          </w:p>
        </w:tc>
        <w:tc>
          <w:tcPr>
            <w:tcW w:w="1726" w:type="dxa"/>
            <w:tcBorders>
              <w:top w:val="nil"/>
              <w:left w:val="nil"/>
              <w:bottom w:val="single" w:sz="4" w:space="0" w:color="AAAAAA"/>
              <w:right w:val="single" w:sz="4" w:space="0" w:color="AAAAAA"/>
            </w:tcBorders>
            <w:shd w:val="clear" w:color="F2F7FF" w:fill="EEF4FF"/>
            <w:noWrap/>
            <w:vAlign w:val="center"/>
            <w:hideMark/>
          </w:tcPr>
          <w:p w14:paraId="2B5499EB" w14:textId="77777777" w:rsidR="00941222" w:rsidRPr="00AA4851" w:rsidRDefault="00941222" w:rsidP="00AA4851">
            <w:pPr>
              <w:spacing w:line="360" w:lineRule="auto"/>
              <w:jc w:val="both"/>
              <w:rPr>
                <w:color w:val="0000FF"/>
                <w:sz w:val="20"/>
                <w:szCs w:val="20"/>
              </w:rPr>
            </w:pPr>
            <w:r>
              <w:rPr>
                <w:color w:val="0000FF"/>
                <w:sz w:val="20"/>
                <w:szCs w:val="20"/>
              </w:rPr>
              <w:t>225.5 days</w:t>
            </w:r>
          </w:p>
        </w:tc>
      </w:tr>
      <w:tr w:rsidR="00941222" w:rsidRPr="00AA4851" w14:paraId="4D3214E5" w14:textId="77777777" w:rsidTr="00941222">
        <w:trPr>
          <w:trHeight w:val="390"/>
          <w:jc w:val="center"/>
        </w:trPr>
        <w:tc>
          <w:tcPr>
            <w:tcW w:w="3842" w:type="dxa"/>
            <w:tcBorders>
              <w:top w:val="nil"/>
              <w:left w:val="single" w:sz="4" w:space="0" w:color="AAAAAA"/>
              <w:bottom w:val="single" w:sz="4" w:space="0" w:color="AAAAAA"/>
              <w:right w:val="single" w:sz="4" w:space="0" w:color="AAAAAA"/>
            </w:tcBorders>
            <w:shd w:val="clear" w:color="FAFAFA" w:fill="F7FBFF"/>
            <w:noWrap/>
            <w:vAlign w:val="center"/>
            <w:hideMark/>
          </w:tcPr>
          <w:p w14:paraId="3E66E351"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Inventory Turnover in Days (ITO days)</w:t>
            </w:r>
          </w:p>
        </w:tc>
        <w:tc>
          <w:tcPr>
            <w:tcW w:w="1521" w:type="dxa"/>
            <w:tcBorders>
              <w:top w:val="nil"/>
              <w:left w:val="nil"/>
              <w:bottom w:val="single" w:sz="4" w:space="0" w:color="AAAAAA"/>
              <w:right w:val="single" w:sz="4" w:space="0" w:color="AAAAAA"/>
            </w:tcBorders>
            <w:noWrap/>
            <w:vAlign w:val="center"/>
            <w:hideMark/>
          </w:tcPr>
          <w:p w14:paraId="0C2B7372" w14:textId="77777777" w:rsidR="00941222" w:rsidRPr="00AA4851" w:rsidRDefault="00941222" w:rsidP="00AA4851">
            <w:pPr>
              <w:spacing w:line="360" w:lineRule="auto"/>
              <w:jc w:val="both"/>
              <w:rPr>
                <w:color w:val="008000"/>
                <w:sz w:val="20"/>
                <w:szCs w:val="20"/>
              </w:rPr>
            </w:pPr>
            <w:r>
              <w:rPr>
                <w:color w:val="008000"/>
                <w:sz w:val="20"/>
                <w:szCs w:val="20"/>
              </w:rPr>
              <w:t>37.0 days</w:t>
            </w:r>
          </w:p>
        </w:tc>
        <w:tc>
          <w:tcPr>
            <w:tcW w:w="1516" w:type="dxa"/>
            <w:tcBorders>
              <w:top w:val="nil"/>
              <w:left w:val="nil"/>
              <w:bottom w:val="single" w:sz="4" w:space="0" w:color="AAAAAA"/>
              <w:right w:val="single" w:sz="4" w:space="0" w:color="AAAAAA"/>
            </w:tcBorders>
            <w:noWrap/>
            <w:vAlign w:val="center"/>
            <w:hideMark/>
          </w:tcPr>
          <w:p w14:paraId="79F887CB" w14:textId="77777777" w:rsidR="00941222" w:rsidRPr="00AA4851" w:rsidRDefault="00941222" w:rsidP="00AA4851">
            <w:pPr>
              <w:spacing w:line="360" w:lineRule="auto"/>
              <w:jc w:val="both"/>
              <w:rPr>
                <w:color w:val="008000"/>
                <w:sz w:val="20"/>
                <w:szCs w:val="20"/>
              </w:rPr>
            </w:pPr>
            <w:r>
              <w:rPr>
                <w:color w:val="008000"/>
                <w:sz w:val="20"/>
                <w:szCs w:val="20"/>
              </w:rPr>
              <w:t>52.9 days</w:t>
            </w:r>
          </w:p>
        </w:tc>
        <w:tc>
          <w:tcPr>
            <w:tcW w:w="1515" w:type="dxa"/>
            <w:tcBorders>
              <w:top w:val="nil"/>
              <w:left w:val="nil"/>
              <w:bottom w:val="single" w:sz="4" w:space="0" w:color="AAAAAA"/>
              <w:right w:val="single" w:sz="4" w:space="0" w:color="AAAAAA"/>
            </w:tcBorders>
            <w:noWrap/>
            <w:vAlign w:val="center"/>
            <w:hideMark/>
          </w:tcPr>
          <w:p w14:paraId="4E7E7D77" w14:textId="77777777" w:rsidR="00941222" w:rsidRPr="00AA4851" w:rsidRDefault="00941222" w:rsidP="00AA4851">
            <w:pPr>
              <w:spacing w:line="360" w:lineRule="auto"/>
              <w:jc w:val="both"/>
              <w:rPr>
                <w:color w:val="008000"/>
                <w:sz w:val="20"/>
                <w:szCs w:val="20"/>
              </w:rPr>
            </w:pPr>
            <w:r>
              <w:rPr>
                <w:color w:val="008000"/>
                <w:sz w:val="20"/>
                <w:szCs w:val="20"/>
              </w:rPr>
              <w:t>57.0 days</w:t>
            </w:r>
          </w:p>
        </w:tc>
        <w:tc>
          <w:tcPr>
            <w:tcW w:w="1726" w:type="dxa"/>
            <w:tcBorders>
              <w:top w:val="nil"/>
              <w:left w:val="nil"/>
              <w:bottom w:val="single" w:sz="4" w:space="0" w:color="AAAAAA"/>
              <w:right w:val="single" w:sz="4" w:space="0" w:color="AAAAAA"/>
            </w:tcBorders>
            <w:shd w:val="clear" w:color="F2F7FF" w:fill="EEF4FF"/>
            <w:noWrap/>
            <w:vAlign w:val="center"/>
            <w:hideMark/>
          </w:tcPr>
          <w:p w14:paraId="65A02ED9" w14:textId="77777777" w:rsidR="00941222" w:rsidRPr="00AA4851" w:rsidRDefault="00941222" w:rsidP="00AA4851">
            <w:pPr>
              <w:spacing w:line="360" w:lineRule="auto"/>
              <w:jc w:val="both"/>
              <w:rPr>
                <w:color w:val="0000FF"/>
                <w:sz w:val="20"/>
                <w:szCs w:val="20"/>
              </w:rPr>
            </w:pPr>
            <w:r>
              <w:rPr>
                <w:color w:val="0000FF"/>
                <w:sz w:val="20"/>
                <w:szCs w:val="20"/>
              </w:rPr>
              <w:t>49.4 days</w:t>
            </w:r>
          </w:p>
        </w:tc>
      </w:tr>
      <w:tr w:rsidR="00941222" w:rsidRPr="00AA4851" w14:paraId="1363778D" w14:textId="77777777" w:rsidTr="00941222">
        <w:trPr>
          <w:trHeight w:val="360"/>
          <w:jc w:val="center"/>
        </w:trPr>
        <w:tc>
          <w:tcPr>
            <w:tcW w:w="3842" w:type="dxa"/>
            <w:tcBorders>
              <w:top w:val="nil"/>
              <w:left w:val="single" w:sz="4" w:space="0" w:color="AAAAAA"/>
              <w:bottom w:val="single" w:sz="4" w:space="0" w:color="AAAAAA"/>
              <w:right w:val="single" w:sz="4" w:space="0" w:color="AAAAAA"/>
            </w:tcBorders>
            <w:shd w:val="clear" w:color="FAFAFA" w:fill="F7FBFF"/>
            <w:noWrap/>
            <w:vAlign w:val="center"/>
            <w:hideMark/>
          </w:tcPr>
          <w:p w14:paraId="15587BC5"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Operating Cycle</w:t>
            </w:r>
          </w:p>
        </w:tc>
        <w:tc>
          <w:tcPr>
            <w:tcW w:w="1521" w:type="dxa"/>
            <w:tcBorders>
              <w:top w:val="nil"/>
              <w:left w:val="nil"/>
              <w:bottom w:val="single" w:sz="4" w:space="0" w:color="AAAAAA"/>
              <w:right w:val="single" w:sz="4" w:space="0" w:color="AAAAAA"/>
            </w:tcBorders>
            <w:noWrap/>
            <w:vAlign w:val="center"/>
            <w:hideMark/>
          </w:tcPr>
          <w:p w14:paraId="7E910197" w14:textId="77777777" w:rsidR="00941222" w:rsidRPr="00AA4851" w:rsidRDefault="00941222" w:rsidP="00AA4851">
            <w:pPr>
              <w:spacing w:line="360" w:lineRule="auto"/>
              <w:jc w:val="both"/>
              <w:rPr>
                <w:color w:val="008000"/>
                <w:sz w:val="20"/>
                <w:szCs w:val="20"/>
              </w:rPr>
            </w:pPr>
            <w:r>
              <w:rPr>
                <w:color w:val="008000"/>
                <w:sz w:val="20"/>
                <w:szCs w:val="20"/>
              </w:rPr>
              <w:t>41.8 days</w:t>
            </w:r>
          </w:p>
        </w:tc>
        <w:tc>
          <w:tcPr>
            <w:tcW w:w="1516" w:type="dxa"/>
            <w:tcBorders>
              <w:top w:val="nil"/>
              <w:left w:val="nil"/>
              <w:bottom w:val="single" w:sz="4" w:space="0" w:color="AAAAAA"/>
              <w:right w:val="single" w:sz="4" w:space="0" w:color="AAAAAA"/>
            </w:tcBorders>
            <w:noWrap/>
            <w:vAlign w:val="center"/>
            <w:hideMark/>
          </w:tcPr>
          <w:p w14:paraId="1BF6F392" w14:textId="77777777" w:rsidR="00941222" w:rsidRPr="00AA4851" w:rsidRDefault="00941222" w:rsidP="00AA4851">
            <w:pPr>
              <w:spacing w:line="360" w:lineRule="auto"/>
              <w:jc w:val="both"/>
              <w:rPr>
                <w:color w:val="008000"/>
                <w:sz w:val="20"/>
                <w:szCs w:val="20"/>
              </w:rPr>
            </w:pPr>
            <w:r>
              <w:rPr>
                <w:color w:val="008000"/>
                <w:sz w:val="20"/>
                <w:szCs w:val="20"/>
              </w:rPr>
              <w:t>64.6 days</w:t>
            </w:r>
          </w:p>
        </w:tc>
        <w:tc>
          <w:tcPr>
            <w:tcW w:w="1515" w:type="dxa"/>
            <w:tcBorders>
              <w:top w:val="nil"/>
              <w:left w:val="nil"/>
              <w:bottom w:val="single" w:sz="4" w:space="0" w:color="AAAAAA"/>
              <w:right w:val="single" w:sz="4" w:space="0" w:color="AAAAAA"/>
            </w:tcBorders>
            <w:noWrap/>
            <w:vAlign w:val="center"/>
            <w:hideMark/>
          </w:tcPr>
          <w:p w14:paraId="6BEAE94D" w14:textId="77777777" w:rsidR="00941222" w:rsidRPr="00AA4851" w:rsidRDefault="00941222" w:rsidP="00AA4851">
            <w:pPr>
              <w:spacing w:line="360" w:lineRule="auto"/>
              <w:jc w:val="both"/>
              <w:rPr>
                <w:color w:val="008000"/>
                <w:sz w:val="20"/>
                <w:szCs w:val="20"/>
              </w:rPr>
            </w:pPr>
            <w:r>
              <w:rPr>
                <w:color w:val="008000"/>
                <w:sz w:val="20"/>
                <w:szCs w:val="20"/>
              </w:rPr>
              <w:t>82.9 days</w:t>
            </w:r>
          </w:p>
        </w:tc>
        <w:tc>
          <w:tcPr>
            <w:tcW w:w="1726" w:type="dxa"/>
            <w:tcBorders>
              <w:top w:val="nil"/>
              <w:left w:val="nil"/>
              <w:bottom w:val="single" w:sz="4" w:space="0" w:color="AAAAAA"/>
              <w:right w:val="single" w:sz="4" w:space="0" w:color="AAAAAA"/>
            </w:tcBorders>
            <w:shd w:val="clear" w:color="F2F7FF" w:fill="EEF4FF"/>
            <w:noWrap/>
            <w:vAlign w:val="center"/>
            <w:hideMark/>
          </w:tcPr>
          <w:p w14:paraId="2E0510D5" w14:textId="77777777" w:rsidR="00941222" w:rsidRPr="00AA4851" w:rsidRDefault="00941222" w:rsidP="00AA4851">
            <w:pPr>
              <w:spacing w:line="360" w:lineRule="auto"/>
              <w:jc w:val="both"/>
              <w:rPr>
                <w:color w:val="0000FF"/>
                <w:sz w:val="20"/>
                <w:szCs w:val="20"/>
              </w:rPr>
            </w:pPr>
            <w:r>
              <w:rPr>
                <w:color w:val="0000FF"/>
                <w:sz w:val="20"/>
                <w:szCs w:val="20"/>
              </w:rPr>
              <w:t>75.0 days</w:t>
            </w:r>
          </w:p>
        </w:tc>
      </w:tr>
      <w:tr w:rsidR="00941222" w:rsidRPr="00AA4851" w14:paraId="3BC8DD8D" w14:textId="77777777" w:rsidTr="00941222">
        <w:trPr>
          <w:trHeight w:val="360"/>
          <w:jc w:val="center"/>
        </w:trPr>
        <w:tc>
          <w:tcPr>
            <w:tcW w:w="3842" w:type="dxa"/>
            <w:tcBorders>
              <w:top w:val="nil"/>
              <w:left w:val="single" w:sz="4" w:space="0" w:color="AAAAAA"/>
              <w:bottom w:val="single" w:sz="4" w:space="0" w:color="AAAAAA"/>
              <w:right w:val="single" w:sz="4" w:space="0" w:color="AAAAAA"/>
            </w:tcBorders>
            <w:shd w:val="clear" w:color="FAFAFA" w:fill="F7FBFF"/>
            <w:noWrap/>
            <w:vAlign w:val="center"/>
            <w:hideMark/>
          </w:tcPr>
          <w:p w14:paraId="69EE0A3A"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Cash Conversion Cycle</w:t>
            </w:r>
          </w:p>
        </w:tc>
        <w:tc>
          <w:tcPr>
            <w:tcW w:w="1521" w:type="dxa"/>
            <w:tcBorders>
              <w:top w:val="nil"/>
              <w:left w:val="nil"/>
              <w:bottom w:val="single" w:sz="4" w:space="0" w:color="AAAAAA"/>
              <w:right w:val="single" w:sz="4" w:space="0" w:color="AAAAAA"/>
            </w:tcBorders>
            <w:noWrap/>
            <w:vAlign w:val="center"/>
            <w:hideMark/>
          </w:tcPr>
          <w:p w14:paraId="6C0B4123" w14:textId="77777777" w:rsidR="00941222" w:rsidRPr="00AA4851" w:rsidRDefault="00941222" w:rsidP="00AA4851">
            <w:pPr>
              <w:spacing w:line="360" w:lineRule="auto"/>
              <w:jc w:val="both"/>
              <w:rPr>
                <w:color w:val="008000"/>
                <w:sz w:val="20"/>
                <w:szCs w:val="20"/>
              </w:rPr>
            </w:pPr>
            <w:r>
              <w:rPr>
                <w:color w:val="008000"/>
                <w:sz w:val="20"/>
                <w:szCs w:val="20"/>
              </w:rPr>
              <w:t>-136.9 days</w:t>
            </w:r>
          </w:p>
        </w:tc>
        <w:tc>
          <w:tcPr>
            <w:tcW w:w="1516" w:type="dxa"/>
            <w:tcBorders>
              <w:top w:val="nil"/>
              <w:left w:val="nil"/>
              <w:bottom w:val="single" w:sz="4" w:space="0" w:color="AAAAAA"/>
              <w:right w:val="single" w:sz="4" w:space="0" w:color="AAAAAA"/>
            </w:tcBorders>
            <w:noWrap/>
            <w:vAlign w:val="center"/>
            <w:hideMark/>
          </w:tcPr>
          <w:p w14:paraId="06CED567" w14:textId="77777777" w:rsidR="00941222" w:rsidRPr="00AA4851" w:rsidRDefault="00941222" w:rsidP="00AA4851">
            <w:pPr>
              <w:spacing w:line="360" w:lineRule="auto"/>
              <w:jc w:val="both"/>
              <w:rPr>
                <w:color w:val="008000"/>
                <w:sz w:val="20"/>
                <w:szCs w:val="20"/>
              </w:rPr>
            </w:pPr>
            <w:r>
              <w:rPr>
                <w:color w:val="008000"/>
                <w:sz w:val="20"/>
                <w:szCs w:val="20"/>
              </w:rPr>
              <w:t>-67.2 days</w:t>
            </w:r>
          </w:p>
        </w:tc>
        <w:tc>
          <w:tcPr>
            <w:tcW w:w="1515" w:type="dxa"/>
            <w:tcBorders>
              <w:top w:val="nil"/>
              <w:left w:val="nil"/>
              <w:bottom w:val="single" w:sz="4" w:space="0" w:color="AAAAAA"/>
              <w:right w:val="single" w:sz="4" w:space="0" w:color="AAAAAA"/>
            </w:tcBorders>
            <w:noWrap/>
            <w:vAlign w:val="center"/>
            <w:hideMark/>
          </w:tcPr>
          <w:p w14:paraId="47DD834B" w14:textId="77777777" w:rsidR="00941222" w:rsidRPr="00AA4851" w:rsidRDefault="00941222" w:rsidP="00AA4851">
            <w:pPr>
              <w:spacing w:line="360" w:lineRule="auto"/>
              <w:jc w:val="both"/>
              <w:rPr>
                <w:color w:val="008000"/>
                <w:sz w:val="20"/>
                <w:szCs w:val="20"/>
              </w:rPr>
            </w:pPr>
            <w:r>
              <w:rPr>
                <w:color w:val="008000"/>
                <w:sz w:val="20"/>
                <w:szCs w:val="20"/>
              </w:rPr>
              <w:t>-62.8 days</w:t>
            </w:r>
          </w:p>
        </w:tc>
        <w:tc>
          <w:tcPr>
            <w:tcW w:w="1726" w:type="dxa"/>
            <w:tcBorders>
              <w:top w:val="nil"/>
              <w:left w:val="nil"/>
              <w:bottom w:val="single" w:sz="4" w:space="0" w:color="AAAAAA"/>
              <w:right w:val="single" w:sz="4" w:space="0" w:color="AAAAAA"/>
            </w:tcBorders>
            <w:shd w:val="clear" w:color="F2F7FF" w:fill="EEF4FF"/>
            <w:noWrap/>
            <w:vAlign w:val="center"/>
            <w:hideMark/>
          </w:tcPr>
          <w:p w14:paraId="1802BAE7" w14:textId="77777777" w:rsidR="00941222" w:rsidRPr="00AA4851" w:rsidRDefault="00941222" w:rsidP="00AA4851">
            <w:pPr>
              <w:spacing w:line="360" w:lineRule="auto"/>
              <w:jc w:val="both"/>
              <w:rPr>
                <w:color w:val="0000FF"/>
                <w:sz w:val="20"/>
                <w:szCs w:val="20"/>
              </w:rPr>
            </w:pPr>
            <w:r>
              <w:rPr>
                <w:color w:val="0000FF"/>
                <w:sz w:val="20"/>
                <w:szCs w:val="20"/>
              </w:rPr>
              <w:t>-150.5 days</w:t>
            </w:r>
          </w:p>
        </w:tc>
      </w:tr>
    </w:tbl>
    <w:p w14:paraId="1AB13927" w14:textId="77777777" w:rsidR="00941222" w:rsidRPr="00AA4851" w:rsidRDefault="00941222" w:rsidP="00AA4851">
      <w:pPr>
        <w:spacing w:before="60" w:after="160" w:line="360" w:lineRule="auto"/>
        <w:jc w:val="both"/>
        <w:rPr>
          <w:i/>
          <w:iCs/>
          <w:color w:val="595959"/>
          <w:sz w:val="20"/>
          <w:szCs w:val="20"/>
        </w:rPr>
      </w:pPr>
    </w:p>
    <w:p w14:paraId="40CE47AA" w14:textId="77777777" w:rsidR="00976955" w:rsidRDefault="00941222" w:rsidP="0011392D">
      <w:pPr>
        <w:keepNext/>
        <w:spacing w:before="60" w:after="160" w:line="360" w:lineRule="auto"/>
        <w:jc w:val="center"/>
      </w:pPr>
      <w:r>
        <w:rPr>
          <w:i/>
          <w:iCs/>
          <w:noProof/>
          <w:color w:val="595959"/>
          <w:sz w:val="20"/>
          <w:szCs w:val="20"/>
        </w:rPr>
        <w:lastRenderedPageBreak/>
        <w:drawing>
          <wp:inline distT="0" distB="0" distL="0" distR="0" wp14:anchorId="3940775D" wp14:editId="79300A51">
            <wp:extent cx="3873699" cy="2311519"/>
            <wp:effectExtent l="0" t="0" r="0" b="0"/>
            <wp:docPr id="16669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64104" name=""/>
                    <pic:cNvPicPr/>
                  </pic:nvPicPr>
                  <pic:blipFill>
                    <a:blip r:embed="rId13"/>
                    <a:stretch>
                      <a:fillRect/>
                    </a:stretch>
                  </pic:blipFill>
                  <pic:spPr>
                    <a:xfrm>
                      <a:off x="0" y="0"/>
                      <a:ext cx="3873699" cy="2311519"/>
                    </a:xfrm>
                    <a:prstGeom prst="rect">
                      <a:avLst/>
                    </a:prstGeom>
                  </pic:spPr>
                </pic:pic>
              </a:graphicData>
            </a:graphic>
          </wp:inline>
        </w:drawing>
      </w:r>
    </w:p>
    <w:p w14:paraId="023ED34F" w14:textId="0B256433" w:rsidR="00941222" w:rsidRPr="00976955" w:rsidRDefault="00976955" w:rsidP="00976955">
      <w:pPr>
        <w:pStyle w:val="Caption"/>
        <w:keepNext/>
        <w:jc w:val="center"/>
        <w:rPr>
          <w:sz w:val="24"/>
          <w:szCs w:val="24"/>
        </w:rPr>
      </w:pPr>
      <w:bookmarkStart w:id="29" w:name="_Toc229826431"/>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5</w:t>
      </w:r>
      <w:r w:rsidRPr="00976955">
        <w:rPr>
          <w:sz w:val="24"/>
          <w:szCs w:val="24"/>
        </w:rPr>
        <w:fldChar w:fldCharType="end"/>
      </w:r>
      <w:r w:rsidRPr="00976955">
        <w:rPr>
          <w:sz w:val="24"/>
          <w:szCs w:val="24"/>
        </w:rPr>
        <w:t xml:space="preserve"> Activity </w:t>
      </w:r>
      <w:r w:rsidR="00B10FC9" w:rsidRPr="00976955">
        <w:rPr>
          <w:sz w:val="24"/>
          <w:szCs w:val="24"/>
        </w:rPr>
        <w:t>Ratios (</w:t>
      </w:r>
      <w:r w:rsidRPr="00976955">
        <w:rPr>
          <w:sz w:val="24"/>
          <w:szCs w:val="24"/>
        </w:rPr>
        <w:t>Days)</w:t>
      </w:r>
      <w:bookmarkEnd w:id="29"/>
    </w:p>
    <w:p w14:paraId="00480A66" w14:textId="65BF923A" w:rsidR="00A0068D" w:rsidRPr="00AA4851" w:rsidRDefault="00A0068D" w:rsidP="00A41412">
      <w:pPr>
        <w:pStyle w:val="Heading2"/>
        <w:spacing w:line="360" w:lineRule="auto"/>
        <w:jc w:val="both"/>
        <w:rPr>
          <w:sz w:val="28"/>
          <w:szCs w:val="28"/>
        </w:rPr>
      </w:pPr>
      <w:bookmarkStart w:id="30" w:name="_Toc229914489"/>
      <w:r>
        <w:rPr>
          <w:rFonts w:eastAsia="Arial"/>
          <w:sz w:val="28"/>
          <w:szCs w:val="28"/>
        </w:rPr>
        <w:t>Interpretation</w:t>
      </w:r>
      <w:r w:rsidR="00A41412">
        <w:rPr>
          <w:sz w:val="28"/>
          <w:szCs w:val="28"/>
        </w:rPr>
        <w:br/>
      </w:r>
      <w:r w:rsidR="00232888">
        <w:rPr>
          <w:color w:val="000000"/>
          <w:sz w:val="24"/>
          <w:szCs w:val="24"/>
        </w:rPr>
        <w:t>EFERT's average collection period grew from 4.75 to 25.93 days as trade debts rose sharply, and the operating cycle nearly doubled from 41.8 to 82.9 days. Despite this, both companies maintain negative cash conversion cycles — EFERT at −62.8 days and FFC at −150.5 days — because large government-linked payables act as free financing (Engro Fertilizers Limited, 2025). EFERT's asset turnover of 1.19x is still better than FFC's 0.79x.</w:t>
      </w:r>
      <w:r w:rsidR="00232888">
        <w:rPr>
          <w:color w:val="000000"/>
          <w:sz w:val="24"/>
          <w:szCs w:val="24"/>
        </w:rPr>
        <w:br/>
      </w:r>
      <w:r w:rsidR="00232888">
        <w:rPr>
          <w:rFonts w:eastAsia="Arial"/>
          <w:b/>
          <w:bCs/>
          <w:color w:val="2E75B6"/>
          <w:sz w:val="28"/>
          <w:szCs w:val="28"/>
        </w:rPr>
        <w:t>2.</w:t>
      </w:r>
      <w:proofErr w:type="gramStart"/>
      <w:r w:rsidR="00232888">
        <w:rPr>
          <w:rFonts w:eastAsia="Arial"/>
          <w:b/>
          <w:bCs/>
          <w:color w:val="2E75B6"/>
          <w:sz w:val="28"/>
          <w:szCs w:val="28"/>
        </w:rPr>
        <w:t>6  Profitability</w:t>
      </w:r>
      <w:proofErr w:type="gramEnd"/>
      <w:r w:rsidR="00232888">
        <w:rPr>
          <w:rFonts w:eastAsia="Arial"/>
          <w:b/>
          <w:bCs/>
          <w:color w:val="2E75B6"/>
          <w:sz w:val="28"/>
          <w:szCs w:val="28"/>
        </w:rPr>
        <w:t xml:space="preserve"> Ratios</w:t>
      </w:r>
      <w:bookmarkEnd w:id="30"/>
    </w:p>
    <w:p w14:paraId="50B34506" w14:textId="0700469D" w:rsidR="00976955" w:rsidRPr="00976955" w:rsidRDefault="00976955" w:rsidP="00976955">
      <w:pPr>
        <w:pStyle w:val="Caption"/>
        <w:keepNext/>
        <w:jc w:val="center"/>
        <w:rPr>
          <w:sz w:val="24"/>
          <w:szCs w:val="24"/>
        </w:rPr>
      </w:pPr>
      <w:bookmarkStart w:id="31" w:name="_Toc229826580"/>
      <w:r w:rsidRPr="00976955">
        <w:rPr>
          <w:sz w:val="24"/>
          <w:szCs w:val="24"/>
        </w:rPr>
        <w:t xml:space="preserve">Table </w:t>
      </w:r>
      <w:r w:rsidRPr="00976955">
        <w:rPr>
          <w:sz w:val="24"/>
          <w:szCs w:val="24"/>
        </w:rPr>
        <w:fldChar w:fldCharType="begin"/>
      </w:r>
      <w:r w:rsidRPr="00976955">
        <w:rPr>
          <w:sz w:val="24"/>
          <w:szCs w:val="24"/>
        </w:rPr>
        <w:instrText xml:space="preserve"> SEQ Table \* ARABIC </w:instrText>
      </w:r>
      <w:r w:rsidRPr="00976955">
        <w:rPr>
          <w:sz w:val="24"/>
          <w:szCs w:val="24"/>
        </w:rPr>
        <w:fldChar w:fldCharType="separate"/>
      </w:r>
      <w:r w:rsidRPr="00976955">
        <w:rPr>
          <w:sz w:val="24"/>
          <w:szCs w:val="24"/>
        </w:rPr>
        <w:t>6</w:t>
      </w:r>
      <w:r w:rsidRPr="00976955">
        <w:rPr>
          <w:sz w:val="24"/>
          <w:szCs w:val="24"/>
        </w:rPr>
        <w:fldChar w:fldCharType="end"/>
      </w:r>
      <w:r w:rsidRPr="00976955">
        <w:rPr>
          <w:sz w:val="24"/>
          <w:szCs w:val="24"/>
        </w:rPr>
        <w:t xml:space="preserve"> Profitability Ratios</w:t>
      </w:r>
      <w:bookmarkEnd w:id="31"/>
    </w:p>
    <w:tbl>
      <w:tblPr>
        <w:tblW w:w="10120" w:type="dxa"/>
        <w:jc w:val="center"/>
        <w:tblLook w:val="04A0" w:firstRow="1" w:lastRow="0" w:firstColumn="1" w:lastColumn="0" w:noHBand="0" w:noVBand="1"/>
      </w:tblPr>
      <w:tblGrid>
        <w:gridCol w:w="3740"/>
        <w:gridCol w:w="1540"/>
        <w:gridCol w:w="1540"/>
        <w:gridCol w:w="1540"/>
        <w:gridCol w:w="1760"/>
      </w:tblGrid>
      <w:tr w:rsidR="00941222" w:rsidRPr="00AA4851" w14:paraId="1C9BA8B3" w14:textId="77777777" w:rsidTr="00941222">
        <w:trPr>
          <w:trHeight w:val="290"/>
          <w:jc w:val="center"/>
        </w:trPr>
        <w:tc>
          <w:tcPr>
            <w:tcW w:w="10120" w:type="dxa"/>
            <w:gridSpan w:val="5"/>
            <w:tcBorders>
              <w:top w:val="single" w:sz="4" w:space="0" w:color="AAAAAA"/>
              <w:left w:val="single" w:sz="4" w:space="0" w:color="AAAAAA"/>
              <w:bottom w:val="single" w:sz="4" w:space="0" w:color="AAAAAA"/>
              <w:right w:val="nil"/>
            </w:tcBorders>
            <w:shd w:val="clear" w:color="D0E8F5" w:fill="BDD7EE"/>
            <w:noWrap/>
            <w:vAlign w:val="center"/>
            <w:hideMark/>
          </w:tcPr>
          <w:p w14:paraId="0616327D" w14:textId="77777777" w:rsidR="00941222" w:rsidRPr="00AA4851" w:rsidRDefault="00941222" w:rsidP="00AA4851">
            <w:pPr>
              <w:spacing w:line="360" w:lineRule="auto"/>
              <w:ind w:firstLineChars="100" w:firstLine="201"/>
              <w:jc w:val="both"/>
              <w:rPr>
                <w:b/>
                <w:bCs/>
                <w:color w:val="1F4E79"/>
                <w:sz w:val="20"/>
                <w:szCs w:val="20"/>
              </w:rPr>
            </w:pPr>
            <w:r>
              <w:rPr>
                <w:b/>
                <w:bCs/>
                <w:color w:val="1F4E79"/>
                <w:sz w:val="20"/>
                <w:szCs w:val="20"/>
              </w:rPr>
              <w:t>E. PROFITABILITY RATIOS</w:t>
            </w:r>
          </w:p>
        </w:tc>
      </w:tr>
      <w:tr w:rsidR="00941222" w:rsidRPr="00AA4851" w14:paraId="2746C701" w14:textId="77777777" w:rsidTr="00941222">
        <w:trPr>
          <w:trHeight w:val="290"/>
          <w:jc w:val="center"/>
        </w:trPr>
        <w:tc>
          <w:tcPr>
            <w:tcW w:w="3740" w:type="dxa"/>
            <w:tcBorders>
              <w:top w:val="nil"/>
              <w:left w:val="single" w:sz="4" w:space="0" w:color="AAAAAA"/>
              <w:bottom w:val="single" w:sz="4" w:space="0" w:color="AAAAAA"/>
              <w:right w:val="single" w:sz="4" w:space="0" w:color="AAAAAA"/>
            </w:tcBorders>
            <w:shd w:val="clear" w:color="4F81BD" w:fill="2E75B6"/>
            <w:vAlign w:val="center"/>
            <w:hideMark/>
          </w:tcPr>
          <w:p w14:paraId="1AA392DA" w14:textId="77777777" w:rsidR="00941222" w:rsidRPr="00AA4851" w:rsidRDefault="00941222" w:rsidP="00AA4851">
            <w:pPr>
              <w:spacing w:line="360" w:lineRule="auto"/>
              <w:jc w:val="both"/>
              <w:rPr>
                <w:b/>
                <w:bCs/>
                <w:color w:val="FFFFFF"/>
                <w:sz w:val="22"/>
                <w:szCs w:val="22"/>
              </w:rPr>
            </w:pPr>
            <w:r>
              <w:rPr>
                <w:b/>
                <w:bCs/>
                <w:color w:val="FFFFFF"/>
                <w:sz w:val="22"/>
                <w:szCs w:val="22"/>
              </w:rPr>
              <w:t>Ratio</w:t>
            </w:r>
          </w:p>
        </w:tc>
        <w:tc>
          <w:tcPr>
            <w:tcW w:w="1540" w:type="dxa"/>
            <w:tcBorders>
              <w:top w:val="nil"/>
              <w:left w:val="nil"/>
              <w:bottom w:val="single" w:sz="4" w:space="0" w:color="AAAAAA"/>
              <w:right w:val="single" w:sz="4" w:space="0" w:color="AAAAAA"/>
            </w:tcBorders>
            <w:shd w:val="clear" w:color="4F81BD" w:fill="2E75B6"/>
            <w:vAlign w:val="center"/>
            <w:hideMark/>
          </w:tcPr>
          <w:p w14:paraId="1045750A" w14:textId="77777777" w:rsidR="00941222" w:rsidRPr="00AA4851" w:rsidRDefault="00941222" w:rsidP="00AA4851">
            <w:pPr>
              <w:spacing w:line="360" w:lineRule="auto"/>
              <w:jc w:val="both"/>
              <w:rPr>
                <w:b/>
                <w:bCs/>
                <w:color w:val="FFFFFF"/>
                <w:sz w:val="22"/>
                <w:szCs w:val="22"/>
              </w:rPr>
            </w:pPr>
            <w:r>
              <w:rPr>
                <w:b/>
                <w:bCs/>
                <w:color w:val="FFFFFF"/>
                <w:sz w:val="22"/>
                <w:szCs w:val="22"/>
              </w:rPr>
              <w:t>ENGRO 2023</w:t>
            </w:r>
          </w:p>
        </w:tc>
        <w:tc>
          <w:tcPr>
            <w:tcW w:w="1540" w:type="dxa"/>
            <w:tcBorders>
              <w:top w:val="nil"/>
              <w:left w:val="nil"/>
              <w:bottom w:val="single" w:sz="4" w:space="0" w:color="AAAAAA"/>
              <w:right w:val="single" w:sz="4" w:space="0" w:color="AAAAAA"/>
            </w:tcBorders>
            <w:shd w:val="clear" w:color="4F81BD" w:fill="2E75B6"/>
            <w:vAlign w:val="center"/>
            <w:hideMark/>
          </w:tcPr>
          <w:p w14:paraId="53A7AAD1" w14:textId="77777777" w:rsidR="00941222" w:rsidRPr="00AA4851" w:rsidRDefault="00941222" w:rsidP="00AA4851">
            <w:pPr>
              <w:spacing w:line="360" w:lineRule="auto"/>
              <w:jc w:val="both"/>
              <w:rPr>
                <w:b/>
                <w:bCs/>
                <w:color w:val="FFFFFF"/>
                <w:sz w:val="22"/>
                <w:szCs w:val="22"/>
              </w:rPr>
            </w:pPr>
            <w:r>
              <w:rPr>
                <w:b/>
                <w:bCs/>
                <w:color w:val="FFFFFF"/>
                <w:sz w:val="22"/>
                <w:szCs w:val="22"/>
              </w:rPr>
              <w:t>ENGRO 2024</w:t>
            </w:r>
          </w:p>
        </w:tc>
        <w:tc>
          <w:tcPr>
            <w:tcW w:w="1540" w:type="dxa"/>
            <w:tcBorders>
              <w:top w:val="nil"/>
              <w:left w:val="nil"/>
              <w:bottom w:val="single" w:sz="4" w:space="0" w:color="AAAAAA"/>
              <w:right w:val="single" w:sz="4" w:space="0" w:color="AAAAAA"/>
            </w:tcBorders>
            <w:shd w:val="clear" w:color="4F81BD" w:fill="2E75B6"/>
            <w:vAlign w:val="center"/>
            <w:hideMark/>
          </w:tcPr>
          <w:p w14:paraId="6250F7E1" w14:textId="77777777" w:rsidR="00941222" w:rsidRPr="00AA4851" w:rsidRDefault="00941222" w:rsidP="00AA4851">
            <w:pPr>
              <w:spacing w:line="360" w:lineRule="auto"/>
              <w:jc w:val="both"/>
              <w:rPr>
                <w:b/>
                <w:bCs/>
                <w:color w:val="FFFFFF"/>
                <w:sz w:val="22"/>
                <w:szCs w:val="22"/>
              </w:rPr>
            </w:pPr>
            <w:r>
              <w:rPr>
                <w:b/>
                <w:bCs/>
                <w:color w:val="FFFFFF"/>
                <w:sz w:val="22"/>
                <w:szCs w:val="22"/>
              </w:rPr>
              <w:t>ENGRO 2025</w:t>
            </w:r>
          </w:p>
        </w:tc>
        <w:tc>
          <w:tcPr>
            <w:tcW w:w="1760" w:type="dxa"/>
            <w:tcBorders>
              <w:top w:val="nil"/>
              <w:left w:val="nil"/>
              <w:bottom w:val="single" w:sz="4" w:space="0" w:color="AAAAAA"/>
              <w:right w:val="single" w:sz="4" w:space="0" w:color="AAAAAA"/>
            </w:tcBorders>
            <w:shd w:val="clear" w:color="4F81BD" w:fill="2E75B6"/>
            <w:vAlign w:val="center"/>
            <w:hideMark/>
          </w:tcPr>
          <w:p w14:paraId="5742586A" w14:textId="77777777" w:rsidR="00941222" w:rsidRPr="00AA4851" w:rsidRDefault="00941222" w:rsidP="00AA4851">
            <w:pPr>
              <w:spacing w:line="360" w:lineRule="auto"/>
              <w:jc w:val="both"/>
              <w:rPr>
                <w:b/>
                <w:bCs/>
                <w:color w:val="FFFFFF"/>
                <w:sz w:val="22"/>
                <w:szCs w:val="22"/>
              </w:rPr>
            </w:pPr>
            <w:r>
              <w:rPr>
                <w:b/>
                <w:bCs/>
                <w:color w:val="FFFFFF"/>
                <w:sz w:val="22"/>
                <w:szCs w:val="22"/>
              </w:rPr>
              <w:t>FFC 2025</w:t>
            </w:r>
          </w:p>
        </w:tc>
      </w:tr>
      <w:tr w:rsidR="00941222" w:rsidRPr="00AA4851" w14:paraId="37F5454A" w14:textId="77777777" w:rsidTr="00941222">
        <w:trPr>
          <w:trHeight w:val="29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614D4BCD"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Gross Profit (GP) Margin</w:t>
            </w:r>
          </w:p>
        </w:tc>
        <w:tc>
          <w:tcPr>
            <w:tcW w:w="1540" w:type="dxa"/>
            <w:tcBorders>
              <w:top w:val="nil"/>
              <w:left w:val="nil"/>
              <w:bottom w:val="single" w:sz="4" w:space="0" w:color="AAAAAA"/>
              <w:right w:val="single" w:sz="4" w:space="0" w:color="AAAAAA"/>
            </w:tcBorders>
            <w:noWrap/>
            <w:vAlign w:val="center"/>
            <w:hideMark/>
          </w:tcPr>
          <w:p w14:paraId="6D61DA87" w14:textId="77777777" w:rsidR="00941222" w:rsidRPr="00AA4851" w:rsidRDefault="00941222" w:rsidP="00AA4851">
            <w:pPr>
              <w:spacing w:line="360" w:lineRule="auto"/>
              <w:jc w:val="both"/>
              <w:rPr>
                <w:color w:val="008000"/>
                <w:sz w:val="20"/>
                <w:szCs w:val="20"/>
              </w:rPr>
            </w:pPr>
            <w:r>
              <w:rPr>
                <w:color w:val="008000"/>
                <w:sz w:val="20"/>
                <w:szCs w:val="20"/>
              </w:rPr>
              <w:t>32.3%</w:t>
            </w:r>
          </w:p>
        </w:tc>
        <w:tc>
          <w:tcPr>
            <w:tcW w:w="1540" w:type="dxa"/>
            <w:tcBorders>
              <w:top w:val="nil"/>
              <w:left w:val="nil"/>
              <w:bottom w:val="single" w:sz="4" w:space="0" w:color="AAAAAA"/>
              <w:right w:val="single" w:sz="4" w:space="0" w:color="AAAAAA"/>
            </w:tcBorders>
            <w:noWrap/>
            <w:vAlign w:val="center"/>
            <w:hideMark/>
          </w:tcPr>
          <w:p w14:paraId="5E094BD3" w14:textId="77777777" w:rsidR="00941222" w:rsidRPr="00AA4851" w:rsidRDefault="00941222" w:rsidP="00AA4851">
            <w:pPr>
              <w:spacing w:line="360" w:lineRule="auto"/>
              <w:jc w:val="both"/>
              <w:rPr>
                <w:color w:val="008000"/>
                <w:sz w:val="20"/>
                <w:szCs w:val="20"/>
              </w:rPr>
            </w:pPr>
            <w:r>
              <w:rPr>
                <w:color w:val="008000"/>
                <w:sz w:val="20"/>
                <w:szCs w:val="20"/>
              </w:rPr>
              <w:t>28.2%</w:t>
            </w:r>
          </w:p>
        </w:tc>
        <w:tc>
          <w:tcPr>
            <w:tcW w:w="1540" w:type="dxa"/>
            <w:tcBorders>
              <w:top w:val="nil"/>
              <w:left w:val="nil"/>
              <w:bottom w:val="single" w:sz="4" w:space="0" w:color="AAAAAA"/>
              <w:right w:val="single" w:sz="4" w:space="0" w:color="AAAAAA"/>
            </w:tcBorders>
            <w:noWrap/>
            <w:vAlign w:val="center"/>
            <w:hideMark/>
          </w:tcPr>
          <w:p w14:paraId="25AED551" w14:textId="77777777" w:rsidR="00941222" w:rsidRPr="00AA4851" w:rsidRDefault="00941222" w:rsidP="00AA4851">
            <w:pPr>
              <w:spacing w:line="360" w:lineRule="auto"/>
              <w:jc w:val="both"/>
              <w:rPr>
                <w:color w:val="008000"/>
                <w:sz w:val="20"/>
                <w:szCs w:val="20"/>
              </w:rPr>
            </w:pPr>
            <w:r>
              <w:rPr>
                <w:color w:val="008000"/>
                <w:sz w:val="20"/>
                <w:szCs w:val="20"/>
              </w:rPr>
              <w:t>30.6%</w:t>
            </w:r>
          </w:p>
        </w:tc>
        <w:tc>
          <w:tcPr>
            <w:tcW w:w="1760" w:type="dxa"/>
            <w:tcBorders>
              <w:top w:val="nil"/>
              <w:left w:val="nil"/>
              <w:bottom w:val="single" w:sz="4" w:space="0" w:color="AAAAAA"/>
              <w:right w:val="single" w:sz="4" w:space="0" w:color="AAAAAA"/>
            </w:tcBorders>
            <w:shd w:val="clear" w:color="F2F7FF" w:fill="EEF4FF"/>
            <w:noWrap/>
            <w:vAlign w:val="center"/>
            <w:hideMark/>
          </w:tcPr>
          <w:p w14:paraId="3F3A3AF9" w14:textId="77777777" w:rsidR="00941222" w:rsidRPr="00AA4851" w:rsidRDefault="00941222" w:rsidP="00AA4851">
            <w:pPr>
              <w:spacing w:line="360" w:lineRule="auto"/>
              <w:jc w:val="both"/>
              <w:rPr>
                <w:color w:val="0000FF"/>
                <w:sz w:val="20"/>
                <w:szCs w:val="20"/>
              </w:rPr>
            </w:pPr>
            <w:r>
              <w:rPr>
                <w:color w:val="0000FF"/>
                <w:sz w:val="20"/>
                <w:szCs w:val="20"/>
              </w:rPr>
              <w:t>30.8%</w:t>
            </w:r>
          </w:p>
        </w:tc>
      </w:tr>
      <w:tr w:rsidR="00941222" w:rsidRPr="00AA4851" w14:paraId="78F9BE33" w14:textId="77777777" w:rsidTr="00941222">
        <w:trPr>
          <w:trHeight w:val="29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576FF1C3"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Net Profit (NP) Margin</w:t>
            </w:r>
          </w:p>
        </w:tc>
        <w:tc>
          <w:tcPr>
            <w:tcW w:w="1540" w:type="dxa"/>
            <w:tcBorders>
              <w:top w:val="nil"/>
              <w:left w:val="nil"/>
              <w:bottom w:val="single" w:sz="4" w:space="0" w:color="AAAAAA"/>
              <w:right w:val="single" w:sz="4" w:space="0" w:color="AAAAAA"/>
            </w:tcBorders>
            <w:noWrap/>
            <w:vAlign w:val="center"/>
            <w:hideMark/>
          </w:tcPr>
          <w:p w14:paraId="7C9AA36C" w14:textId="77777777" w:rsidR="00941222" w:rsidRPr="00AA4851" w:rsidRDefault="00941222" w:rsidP="00AA4851">
            <w:pPr>
              <w:spacing w:line="360" w:lineRule="auto"/>
              <w:jc w:val="both"/>
              <w:rPr>
                <w:color w:val="008000"/>
                <w:sz w:val="20"/>
                <w:szCs w:val="20"/>
              </w:rPr>
            </w:pPr>
            <w:r>
              <w:rPr>
                <w:color w:val="008000"/>
                <w:sz w:val="20"/>
                <w:szCs w:val="20"/>
              </w:rPr>
              <w:t>11.7%</w:t>
            </w:r>
          </w:p>
        </w:tc>
        <w:tc>
          <w:tcPr>
            <w:tcW w:w="1540" w:type="dxa"/>
            <w:tcBorders>
              <w:top w:val="nil"/>
              <w:left w:val="nil"/>
              <w:bottom w:val="single" w:sz="4" w:space="0" w:color="AAAAAA"/>
              <w:right w:val="single" w:sz="4" w:space="0" w:color="AAAAAA"/>
            </w:tcBorders>
            <w:noWrap/>
            <w:vAlign w:val="center"/>
            <w:hideMark/>
          </w:tcPr>
          <w:p w14:paraId="537C616A" w14:textId="77777777" w:rsidR="00941222" w:rsidRPr="00AA4851" w:rsidRDefault="00941222" w:rsidP="00AA4851">
            <w:pPr>
              <w:spacing w:line="360" w:lineRule="auto"/>
              <w:jc w:val="both"/>
              <w:rPr>
                <w:color w:val="008000"/>
                <w:sz w:val="20"/>
                <w:szCs w:val="20"/>
              </w:rPr>
            </w:pPr>
            <w:r>
              <w:rPr>
                <w:color w:val="008000"/>
                <w:sz w:val="20"/>
                <w:szCs w:val="20"/>
              </w:rPr>
              <w:t>11.0%</w:t>
            </w:r>
          </w:p>
        </w:tc>
        <w:tc>
          <w:tcPr>
            <w:tcW w:w="1540" w:type="dxa"/>
            <w:tcBorders>
              <w:top w:val="nil"/>
              <w:left w:val="nil"/>
              <w:bottom w:val="single" w:sz="4" w:space="0" w:color="AAAAAA"/>
              <w:right w:val="single" w:sz="4" w:space="0" w:color="AAAAAA"/>
            </w:tcBorders>
            <w:noWrap/>
            <w:vAlign w:val="center"/>
            <w:hideMark/>
          </w:tcPr>
          <w:p w14:paraId="65B21106" w14:textId="77777777" w:rsidR="00941222" w:rsidRPr="00AA4851" w:rsidRDefault="00941222" w:rsidP="00AA4851">
            <w:pPr>
              <w:spacing w:line="360" w:lineRule="auto"/>
              <w:jc w:val="both"/>
              <w:rPr>
                <w:color w:val="008000"/>
                <w:sz w:val="20"/>
                <w:szCs w:val="20"/>
              </w:rPr>
            </w:pPr>
            <w:r>
              <w:rPr>
                <w:color w:val="008000"/>
                <w:sz w:val="20"/>
                <w:szCs w:val="20"/>
              </w:rPr>
              <w:t>9.5%</w:t>
            </w:r>
          </w:p>
        </w:tc>
        <w:tc>
          <w:tcPr>
            <w:tcW w:w="1760" w:type="dxa"/>
            <w:tcBorders>
              <w:top w:val="nil"/>
              <w:left w:val="nil"/>
              <w:bottom w:val="single" w:sz="4" w:space="0" w:color="AAAAAA"/>
              <w:right w:val="single" w:sz="4" w:space="0" w:color="AAAAAA"/>
            </w:tcBorders>
            <w:shd w:val="clear" w:color="F2F7FF" w:fill="EEF4FF"/>
            <w:noWrap/>
            <w:vAlign w:val="center"/>
            <w:hideMark/>
          </w:tcPr>
          <w:p w14:paraId="7B43F422" w14:textId="77777777" w:rsidR="00941222" w:rsidRPr="00AA4851" w:rsidRDefault="00941222" w:rsidP="00AA4851">
            <w:pPr>
              <w:spacing w:line="360" w:lineRule="auto"/>
              <w:jc w:val="both"/>
              <w:rPr>
                <w:color w:val="0000FF"/>
                <w:sz w:val="20"/>
                <w:szCs w:val="20"/>
              </w:rPr>
            </w:pPr>
            <w:r>
              <w:rPr>
                <w:color w:val="0000FF"/>
                <w:sz w:val="20"/>
                <w:szCs w:val="20"/>
              </w:rPr>
              <w:t>17.6%</w:t>
            </w:r>
          </w:p>
        </w:tc>
      </w:tr>
      <w:tr w:rsidR="00941222" w:rsidRPr="00AA4851" w14:paraId="65FF6FC9" w14:textId="77777777" w:rsidTr="00941222">
        <w:trPr>
          <w:trHeight w:val="29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2002A27D"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Return on Investment / ROA</w:t>
            </w:r>
          </w:p>
        </w:tc>
        <w:tc>
          <w:tcPr>
            <w:tcW w:w="1540" w:type="dxa"/>
            <w:tcBorders>
              <w:top w:val="nil"/>
              <w:left w:val="nil"/>
              <w:bottom w:val="single" w:sz="4" w:space="0" w:color="AAAAAA"/>
              <w:right w:val="single" w:sz="4" w:space="0" w:color="AAAAAA"/>
            </w:tcBorders>
            <w:noWrap/>
            <w:vAlign w:val="center"/>
            <w:hideMark/>
          </w:tcPr>
          <w:p w14:paraId="202067E9" w14:textId="77777777" w:rsidR="00941222" w:rsidRPr="00AA4851" w:rsidRDefault="00941222" w:rsidP="00AA4851">
            <w:pPr>
              <w:spacing w:line="360" w:lineRule="auto"/>
              <w:jc w:val="both"/>
              <w:rPr>
                <w:color w:val="008000"/>
                <w:sz w:val="20"/>
                <w:szCs w:val="20"/>
              </w:rPr>
            </w:pPr>
            <w:r>
              <w:rPr>
                <w:color w:val="008000"/>
                <w:sz w:val="20"/>
                <w:szCs w:val="20"/>
              </w:rPr>
              <w:t>16.3%</w:t>
            </w:r>
          </w:p>
        </w:tc>
        <w:tc>
          <w:tcPr>
            <w:tcW w:w="1540" w:type="dxa"/>
            <w:tcBorders>
              <w:top w:val="nil"/>
              <w:left w:val="nil"/>
              <w:bottom w:val="single" w:sz="4" w:space="0" w:color="AAAAAA"/>
              <w:right w:val="single" w:sz="4" w:space="0" w:color="AAAAAA"/>
            </w:tcBorders>
            <w:noWrap/>
            <w:vAlign w:val="center"/>
            <w:hideMark/>
          </w:tcPr>
          <w:p w14:paraId="163F0899" w14:textId="77777777" w:rsidR="00941222" w:rsidRPr="00AA4851" w:rsidRDefault="00941222" w:rsidP="00AA4851">
            <w:pPr>
              <w:spacing w:line="360" w:lineRule="auto"/>
              <w:jc w:val="both"/>
              <w:rPr>
                <w:color w:val="008000"/>
                <w:sz w:val="20"/>
                <w:szCs w:val="20"/>
              </w:rPr>
            </w:pPr>
            <w:r>
              <w:rPr>
                <w:color w:val="008000"/>
                <w:sz w:val="20"/>
                <w:szCs w:val="20"/>
              </w:rPr>
              <w:t>16.6%</w:t>
            </w:r>
          </w:p>
        </w:tc>
        <w:tc>
          <w:tcPr>
            <w:tcW w:w="1540" w:type="dxa"/>
            <w:tcBorders>
              <w:top w:val="nil"/>
              <w:left w:val="nil"/>
              <w:bottom w:val="single" w:sz="4" w:space="0" w:color="AAAAAA"/>
              <w:right w:val="single" w:sz="4" w:space="0" w:color="AAAAAA"/>
            </w:tcBorders>
            <w:noWrap/>
            <w:vAlign w:val="center"/>
            <w:hideMark/>
          </w:tcPr>
          <w:p w14:paraId="0B399CD8" w14:textId="77777777" w:rsidR="00941222" w:rsidRPr="00AA4851" w:rsidRDefault="00941222" w:rsidP="00AA4851">
            <w:pPr>
              <w:spacing w:line="360" w:lineRule="auto"/>
              <w:jc w:val="both"/>
              <w:rPr>
                <w:color w:val="008000"/>
                <w:sz w:val="20"/>
                <w:szCs w:val="20"/>
              </w:rPr>
            </w:pPr>
            <w:r>
              <w:rPr>
                <w:color w:val="008000"/>
                <w:sz w:val="20"/>
                <w:szCs w:val="20"/>
              </w:rPr>
              <w:t>11.4%</w:t>
            </w:r>
          </w:p>
        </w:tc>
        <w:tc>
          <w:tcPr>
            <w:tcW w:w="1760" w:type="dxa"/>
            <w:tcBorders>
              <w:top w:val="nil"/>
              <w:left w:val="nil"/>
              <w:bottom w:val="single" w:sz="4" w:space="0" w:color="AAAAAA"/>
              <w:right w:val="single" w:sz="4" w:space="0" w:color="AAAAAA"/>
            </w:tcBorders>
            <w:shd w:val="clear" w:color="F2F7FF" w:fill="EEF4FF"/>
            <w:noWrap/>
            <w:vAlign w:val="center"/>
            <w:hideMark/>
          </w:tcPr>
          <w:p w14:paraId="3C42B3FB" w14:textId="77777777" w:rsidR="00941222" w:rsidRPr="00AA4851" w:rsidRDefault="00941222" w:rsidP="00AA4851">
            <w:pPr>
              <w:spacing w:line="360" w:lineRule="auto"/>
              <w:jc w:val="both"/>
              <w:rPr>
                <w:color w:val="0000FF"/>
                <w:sz w:val="20"/>
                <w:szCs w:val="20"/>
              </w:rPr>
            </w:pPr>
            <w:r>
              <w:rPr>
                <w:color w:val="0000FF"/>
                <w:sz w:val="20"/>
                <w:szCs w:val="20"/>
              </w:rPr>
              <w:t>13.9%</w:t>
            </w:r>
          </w:p>
        </w:tc>
      </w:tr>
      <w:tr w:rsidR="00941222" w:rsidRPr="00AA4851" w14:paraId="1FE2997D" w14:textId="77777777" w:rsidTr="00941222">
        <w:trPr>
          <w:trHeight w:val="290"/>
          <w:jc w:val="center"/>
        </w:trPr>
        <w:tc>
          <w:tcPr>
            <w:tcW w:w="3740" w:type="dxa"/>
            <w:tcBorders>
              <w:top w:val="nil"/>
              <w:left w:val="single" w:sz="4" w:space="0" w:color="AAAAAA"/>
              <w:bottom w:val="single" w:sz="4" w:space="0" w:color="AAAAAA"/>
              <w:right w:val="single" w:sz="4" w:space="0" w:color="AAAAAA"/>
            </w:tcBorders>
            <w:shd w:val="clear" w:color="FAFAFA" w:fill="F7FBFF"/>
            <w:noWrap/>
            <w:vAlign w:val="center"/>
            <w:hideMark/>
          </w:tcPr>
          <w:p w14:paraId="1370566D" w14:textId="77777777" w:rsidR="00941222" w:rsidRPr="00AA4851" w:rsidRDefault="00941222" w:rsidP="00AA4851">
            <w:pPr>
              <w:spacing w:line="360" w:lineRule="auto"/>
              <w:ind w:firstLineChars="100" w:firstLine="200"/>
              <w:jc w:val="both"/>
              <w:rPr>
                <w:color w:val="000000"/>
                <w:sz w:val="20"/>
                <w:szCs w:val="20"/>
              </w:rPr>
            </w:pPr>
            <w:r>
              <w:rPr>
                <w:color w:val="000000"/>
                <w:sz w:val="20"/>
                <w:szCs w:val="20"/>
              </w:rPr>
              <w:t>Return on Equity (ROE)</w:t>
            </w:r>
          </w:p>
        </w:tc>
        <w:tc>
          <w:tcPr>
            <w:tcW w:w="1540" w:type="dxa"/>
            <w:tcBorders>
              <w:top w:val="nil"/>
              <w:left w:val="nil"/>
              <w:bottom w:val="single" w:sz="4" w:space="0" w:color="AAAAAA"/>
              <w:right w:val="single" w:sz="4" w:space="0" w:color="AAAAAA"/>
            </w:tcBorders>
            <w:noWrap/>
            <w:vAlign w:val="center"/>
            <w:hideMark/>
          </w:tcPr>
          <w:p w14:paraId="57B0565C" w14:textId="77777777" w:rsidR="00941222" w:rsidRPr="00AA4851" w:rsidRDefault="00941222" w:rsidP="00AA4851">
            <w:pPr>
              <w:spacing w:line="360" w:lineRule="auto"/>
              <w:jc w:val="both"/>
              <w:rPr>
                <w:color w:val="008000"/>
                <w:sz w:val="20"/>
                <w:szCs w:val="20"/>
              </w:rPr>
            </w:pPr>
            <w:r>
              <w:rPr>
                <w:color w:val="008000"/>
                <w:sz w:val="20"/>
                <w:szCs w:val="20"/>
              </w:rPr>
              <w:t>54.7%</w:t>
            </w:r>
          </w:p>
        </w:tc>
        <w:tc>
          <w:tcPr>
            <w:tcW w:w="1540" w:type="dxa"/>
            <w:tcBorders>
              <w:top w:val="nil"/>
              <w:left w:val="nil"/>
              <w:bottom w:val="single" w:sz="4" w:space="0" w:color="AAAAAA"/>
              <w:right w:val="single" w:sz="4" w:space="0" w:color="AAAAAA"/>
            </w:tcBorders>
            <w:noWrap/>
            <w:vAlign w:val="center"/>
            <w:hideMark/>
          </w:tcPr>
          <w:p w14:paraId="22EDDB32" w14:textId="77777777" w:rsidR="00941222" w:rsidRPr="00AA4851" w:rsidRDefault="00941222" w:rsidP="00AA4851">
            <w:pPr>
              <w:spacing w:line="360" w:lineRule="auto"/>
              <w:jc w:val="both"/>
              <w:rPr>
                <w:color w:val="008000"/>
                <w:sz w:val="20"/>
                <w:szCs w:val="20"/>
              </w:rPr>
            </w:pPr>
            <w:r>
              <w:rPr>
                <w:color w:val="008000"/>
                <w:sz w:val="20"/>
                <w:szCs w:val="20"/>
              </w:rPr>
              <w:t>59.5%</w:t>
            </w:r>
          </w:p>
        </w:tc>
        <w:tc>
          <w:tcPr>
            <w:tcW w:w="1540" w:type="dxa"/>
            <w:tcBorders>
              <w:top w:val="nil"/>
              <w:left w:val="nil"/>
              <w:bottom w:val="single" w:sz="4" w:space="0" w:color="AAAAAA"/>
              <w:right w:val="single" w:sz="4" w:space="0" w:color="AAAAAA"/>
            </w:tcBorders>
            <w:noWrap/>
            <w:vAlign w:val="center"/>
            <w:hideMark/>
          </w:tcPr>
          <w:p w14:paraId="19FEC37D" w14:textId="77777777" w:rsidR="00941222" w:rsidRPr="00AA4851" w:rsidRDefault="00941222" w:rsidP="00AA4851">
            <w:pPr>
              <w:spacing w:line="360" w:lineRule="auto"/>
              <w:jc w:val="both"/>
              <w:rPr>
                <w:color w:val="008000"/>
                <w:sz w:val="20"/>
                <w:szCs w:val="20"/>
              </w:rPr>
            </w:pPr>
            <w:r>
              <w:rPr>
                <w:color w:val="008000"/>
                <w:sz w:val="20"/>
                <w:szCs w:val="20"/>
              </w:rPr>
              <w:t>50.6%</w:t>
            </w:r>
          </w:p>
        </w:tc>
        <w:tc>
          <w:tcPr>
            <w:tcW w:w="1760" w:type="dxa"/>
            <w:tcBorders>
              <w:top w:val="nil"/>
              <w:left w:val="nil"/>
              <w:bottom w:val="single" w:sz="4" w:space="0" w:color="AAAAAA"/>
              <w:right w:val="single" w:sz="4" w:space="0" w:color="AAAAAA"/>
            </w:tcBorders>
            <w:shd w:val="clear" w:color="F2F7FF" w:fill="EEF4FF"/>
            <w:noWrap/>
            <w:vAlign w:val="center"/>
            <w:hideMark/>
          </w:tcPr>
          <w:p w14:paraId="5D9E6056" w14:textId="77777777" w:rsidR="00941222" w:rsidRPr="00AA4851" w:rsidRDefault="00941222" w:rsidP="00AA4851">
            <w:pPr>
              <w:spacing w:line="360" w:lineRule="auto"/>
              <w:jc w:val="both"/>
              <w:rPr>
                <w:color w:val="0000FF"/>
                <w:sz w:val="20"/>
                <w:szCs w:val="20"/>
              </w:rPr>
            </w:pPr>
            <w:r>
              <w:rPr>
                <w:color w:val="0000FF"/>
                <w:sz w:val="20"/>
                <w:szCs w:val="20"/>
              </w:rPr>
              <w:t>32.1%</w:t>
            </w:r>
          </w:p>
        </w:tc>
      </w:tr>
    </w:tbl>
    <w:p w14:paraId="21175AF4" w14:textId="77777777" w:rsidR="00941222" w:rsidRPr="00AA4851" w:rsidRDefault="00941222" w:rsidP="00AA4851">
      <w:pPr>
        <w:spacing w:before="60" w:after="160" w:line="360" w:lineRule="auto"/>
        <w:jc w:val="both"/>
        <w:rPr>
          <w:i/>
          <w:iCs/>
          <w:color w:val="595959"/>
          <w:sz w:val="20"/>
          <w:szCs w:val="20"/>
        </w:rPr>
      </w:pPr>
    </w:p>
    <w:p w14:paraId="7930C51A" w14:textId="2FD13808" w:rsidR="00B72638" w:rsidRPr="00AA4851" w:rsidRDefault="00976955" w:rsidP="00AA4851">
      <w:pPr>
        <w:spacing w:before="60" w:after="160" w:line="360" w:lineRule="auto"/>
        <w:jc w:val="both"/>
      </w:pPr>
      <w:r>
        <w:rPr>
          <w:noProof/>
        </w:rPr>
        <w:lastRenderedPageBreak/>
        <mc:AlternateContent>
          <mc:Choice Requires="wps">
            <w:drawing>
              <wp:anchor distT="0" distB="0" distL="114300" distR="114300" simplePos="0" relativeHeight="251669504" behindDoc="0" locked="0" layoutInCell="1" allowOverlap="1" wp14:anchorId="085F5E88" wp14:editId="10F89415">
                <wp:simplePos x="0" y="0"/>
                <wp:positionH relativeFrom="column">
                  <wp:posOffset>1063625</wp:posOffset>
                </wp:positionH>
                <wp:positionV relativeFrom="paragraph">
                  <wp:posOffset>2400300</wp:posOffset>
                </wp:positionV>
                <wp:extent cx="3816350" cy="635"/>
                <wp:effectExtent l="0" t="0" r="0" b="0"/>
                <wp:wrapTopAndBottom/>
                <wp:docPr id="868903812" name="Text Box 1"/>
                <wp:cNvGraphicFramePr/>
                <a:graphic xmlns:a="http://schemas.openxmlformats.org/drawingml/2006/main">
                  <a:graphicData uri="http://schemas.microsoft.com/office/word/2010/wordprocessingShape">
                    <wps:wsp>
                      <wps:cNvSpPr txBox="1"/>
                      <wps:spPr>
                        <a:xfrm>
                          <a:off x="0" y="0"/>
                          <a:ext cx="3816350" cy="635"/>
                        </a:xfrm>
                        <a:prstGeom prst="rect">
                          <a:avLst/>
                        </a:prstGeom>
                        <a:solidFill>
                          <a:prstClr val="white"/>
                        </a:solidFill>
                        <a:ln>
                          <a:noFill/>
                        </a:ln>
                      </wps:spPr>
                      <wps:txbx>
                        <w:txbxContent>
                          <w:p w14:paraId="4C458F29" w14:textId="56EE65F8" w:rsidR="00976955" w:rsidRPr="00976955" w:rsidRDefault="00976955" w:rsidP="00976955">
                            <w:pPr>
                              <w:pStyle w:val="Caption"/>
                              <w:keepNext/>
                              <w:jc w:val="center"/>
                              <w:rPr>
                                <w:sz w:val="24"/>
                                <w:szCs w:val="24"/>
                              </w:rPr>
                            </w:pPr>
                            <w:bookmarkStart w:id="32" w:name="_Toc229826417"/>
                            <w:bookmarkStart w:id="33" w:name="_Toc229826432"/>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6</w:t>
                            </w:r>
                            <w:r w:rsidRPr="00976955">
                              <w:rPr>
                                <w:sz w:val="24"/>
                                <w:szCs w:val="24"/>
                              </w:rPr>
                              <w:fldChar w:fldCharType="end"/>
                            </w:r>
                            <w:r w:rsidRPr="00976955">
                              <w:rPr>
                                <w:sz w:val="24"/>
                                <w:szCs w:val="24"/>
                              </w:rPr>
                              <w:t xml:space="preserve"> Profitability Ratios</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5F5E88" id="_x0000_s1029" type="#_x0000_t202" style="position:absolute;left:0;text-align:left;margin-left:83.75pt;margin-top:189pt;width:30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" stroked="f">
                <v:textbox style="mso-fit-shape-to-text:t" inset="0,0,0,0">
                  <w:txbxContent>
                    <w:p w14:paraId="4C458F29" w14:textId="56EE65F8" w:rsidR="00976955" w:rsidRPr="00976955" w:rsidRDefault="00976955" w:rsidP="00976955">
                      <w:pPr>
                        <w:pStyle w:val="Caption"/>
                        <w:keepNext/>
                        <w:jc w:val="center"/>
                        <w:rPr>
                          <w:sz w:val="24"/>
                          <w:szCs w:val="24"/>
                        </w:rPr>
                      </w:pPr>
                      <w:bookmarkStart w:id="34" w:name="_Toc229826417"/>
                      <w:bookmarkStart w:id="35" w:name="_Toc229826432"/>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6</w:t>
                      </w:r>
                      <w:r w:rsidRPr="00976955">
                        <w:rPr>
                          <w:sz w:val="24"/>
                          <w:szCs w:val="24"/>
                        </w:rPr>
                        <w:fldChar w:fldCharType="end"/>
                      </w:r>
                      <w:r w:rsidRPr="00976955">
                        <w:rPr>
                          <w:sz w:val="24"/>
                          <w:szCs w:val="24"/>
                        </w:rPr>
                        <w:t xml:space="preserve"> Profitability Ratios</w:t>
                      </w:r>
                      <w:bookmarkEnd w:id="34"/>
                      <w:bookmarkEnd w:id="35"/>
                    </w:p>
                  </w:txbxContent>
                </v:textbox>
                <w10:wrap type="topAndBottom"/>
              </v:shape>
            </w:pict>
          </mc:Fallback>
        </mc:AlternateContent>
      </w:r>
      <w:r w:rsidR="00B72638">
        <w:rPr>
          <w:noProof/>
        </w:rPr>
        <w:drawing>
          <wp:anchor distT="0" distB="0" distL="114300" distR="114300" simplePos="0" relativeHeight="251661312" behindDoc="0" locked="0" layoutInCell="1" allowOverlap="1" wp14:anchorId="739A96BD" wp14:editId="742E4B4D">
            <wp:simplePos x="0" y="0"/>
            <wp:positionH relativeFrom="column">
              <wp:posOffset>1063625</wp:posOffset>
            </wp:positionH>
            <wp:positionV relativeFrom="paragraph">
              <wp:posOffset>0</wp:posOffset>
            </wp:positionV>
            <wp:extent cx="3816546" cy="2343270"/>
            <wp:effectExtent l="0" t="0" r="0" b="0"/>
            <wp:wrapTopAndBottom/>
            <wp:docPr id="93489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95112" name=""/>
                    <pic:cNvPicPr/>
                  </pic:nvPicPr>
                  <pic:blipFill>
                    <a:blip r:embed="rId14">
                      <a:extLst>
                        <a:ext uri="{28A0092B-C50C-407E-A947-70E740481C1C}">
                          <a14:useLocalDpi xmlns:a14="http://schemas.microsoft.com/office/drawing/2010/main" val="0"/>
                        </a:ext>
                      </a:extLst>
                    </a:blip>
                    <a:stretch>
                      <a:fillRect/>
                    </a:stretch>
                  </pic:blipFill>
                  <pic:spPr>
                    <a:xfrm>
                      <a:off x="0" y="0"/>
                      <a:ext cx="3816546" cy="2343270"/>
                    </a:xfrm>
                    <a:prstGeom prst="rect">
                      <a:avLst/>
                    </a:prstGeom>
                  </pic:spPr>
                </pic:pic>
              </a:graphicData>
            </a:graphic>
          </wp:anchor>
        </w:drawing>
      </w:r>
    </w:p>
    <w:p w14:paraId="2E156A86" w14:textId="5C7C06A8" w:rsidR="00F60791" w:rsidRPr="00AA4851" w:rsidRDefault="00A0068D" w:rsidP="00A41412">
      <w:pPr>
        <w:pStyle w:val="Heading2"/>
        <w:spacing w:line="360" w:lineRule="auto"/>
        <w:jc w:val="both"/>
        <w:rPr>
          <w:sz w:val="28"/>
          <w:szCs w:val="28"/>
        </w:rPr>
      </w:pPr>
      <w:bookmarkStart w:id="36" w:name="_Toc229824030"/>
      <w:bookmarkStart w:id="37" w:name="_Toc229914490"/>
      <w:r>
        <w:rPr>
          <w:rFonts w:eastAsia="Arial"/>
          <w:sz w:val="28"/>
          <w:szCs w:val="28"/>
        </w:rPr>
        <w:t>Interpretation</w:t>
      </w:r>
      <w:r w:rsidR="00A41412">
        <w:rPr>
          <w:sz w:val="28"/>
          <w:szCs w:val="28"/>
        </w:rPr>
        <w:br/>
      </w:r>
      <w:r w:rsidR="00232888">
        <w:rPr>
          <w:color w:val="000000"/>
          <w:sz w:val="24"/>
          <w:szCs w:val="24"/>
        </w:rPr>
        <w:t xml:space="preserve">Gross profit stayed stable at around PKR 72.3 billion across all three years, which shows good cost control, and the GP margin recovered to 30.6% in 2025, almost matching FFC's 30.8%. Net margin fell from 11.7% to 9.5% because selling expenses doubled and finance costs rose five times. ROE stayed strong at 50.6% against FFC's 32.1% because EFERT's smaller equity base boosts </w:t>
      </w:r>
      <w:proofErr w:type="gramStart"/>
      <w:r w:rsidR="00232888">
        <w:rPr>
          <w:color w:val="000000"/>
          <w:sz w:val="24"/>
          <w:szCs w:val="24"/>
        </w:rPr>
        <w:t>returns</w:t>
      </w:r>
      <w:proofErr w:type="gramEnd"/>
      <w:r w:rsidR="00232888">
        <w:rPr>
          <w:color w:val="000000"/>
          <w:sz w:val="24"/>
          <w:szCs w:val="24"/>
        </w:rPr>
        <w:t xml:space="preserve"> through leverage.</w:t>
      </w:r>
      <w:r w:rsidR="00232888">
        <w:rPr>
          <w:color w:val="000000"/>
          <w:sz w:val="24"/>
          <w:szCs w:val="24"/>
        </w:rPr>
        <w:br/>
      </w:r>
      <w:r w:rsidR="00232888">
        <w:rPr>
          <w:rFonts w:eastAsia="Arial"/>
          <w:b/>
          <w:bCs/>
          <w:color w:val="2E75B6"/>
          <w:sz w:val="28"/>
          <w:szCs w:val="28"/>
        </w:rPr>
        <w:t>2.</w:t>
      </w:r>
      <w:proofErr w:type="gramStart"/>
      <w:r w:rsidR="00232888">
        <w:rPr>
          <w:rFonts w:eastAsia="Arial"/>
          <w:b/>
          <w:bCs/>
          <w:color w:val="2E75B6"/>
          <w:sz w:val="28"/>
          <w:szCs w:val="28"/>
        </w:rPr>
        <w:t>7  Chapter</w:t>
      </w:r>
      <w:proofErr w:type="gramEnd"/>
      <w:r w:rsidR="00232888">
        <w:rPr>
          <w:rFonts w:eastAsia="Arial"/>
          <w:b/>
          <w:bCs/>
          <w:color w:val="2E75B6"/>
          <w:sz w:val="28"/>
          <w:szCs w:val="28"/>
        </w:rPr>
        <w:t xml:space="preserve"> Discussion</w:t>
      </w:r>
      <w:bookmarkEnd w:id="36"/>
      <w:bookmarkEnd w:id="37"/>
    </w:p>
    <w:p w14:paraId="73485CA5" w14:textId="77777777" w:rsidR="00691617" w:rsidRPr="00AA4851" w:rsidRDefault="00232888" w:rsidP="00AA4851">
      <w:pPr>
        <w:spacing w:line="360" w:lineRule="auto"/>
        <w:jc w:val="both"/>
        <w:rPr>
          <w:color w:val="000000"/>
        </w:rPr>
      </w:pPr>
      <w:r>
        <w:rPr>
          <w:color w:val="000000"/>
        </w:rPr>
        <w:t>EFERT's real strengths are stable gross profit, good asset turnover, and a negative cash conversion cycle throughout all three years. The main concerns are D/E rising from 2.36x to 3.45x, TIE falling 81%, collection period growing five times, and net margin shrinking from 11.7% to 9.5%. Given rising energy prices from the ongoing Middle East conflict, EFERT's aggressive borrowing strategy may not be sustainable going into financial year 2026.</w:t>
      </w:r>
      <w:r>
        <w:rPr>
          <w:color w:val="000000"/>
        </w:rPr>
        <w:br/>
      </w:r>
    </w:p>
    <w:p w14:paraId="7948A34B" w14:textId="00036820" w:rsidR="00AA4851" w:rsidRPr="00AA4851" w:rsidRDefault="00AA4851" w:rsidP="00AA4851">
      <w:pPr>
        <w:pStyle w:val="Heading1"/>
        <w:spacing w:before="400" w:after="120" w:line="360" w:lineRule="auto"/>
        <w:jc w:val="both"/>
        <w:rPr>
          <w:rFonts w:eastAsia="Arial"/>
          <w:b/>
          <w:bCs/>
          <w:color w:val="1F3864"/>
        </w:rPr>
      </w:pPr>
      <w:bookmarkStart w:id="38" w:name="_Toc229914491"/>
      <w:r>
        <w:rPr>
          <w:rFonts w:eastAsia="Arial"/>
          <w:b/>
          <w:bCs/>
          <w:color w:val="1F3864"/>
        </w:rPr>
        <w:t>Chapter 3: Common Size Analysis Report</w:t>
      </w:r>
      <w:bookmarkEnd w:id="38"/>
    </w:p>
    <w:p w14:paraId="7901D0AF" w14:textId="77777777" w:rsidR="00AA4851" w:rsidRPr="00AA4851" w:rsidRDefault="00AA4851" w:rsidP="00AA4851">
      <w:pPr>
        <w:spacing w:line="360" w:lineRule="auto"/>
        <w:jc w:val="both"/>
        <w:rPr>
          <w:color w:val="000000"/>
          <w:lang w:val="en-US"/>
        </w:rPr>
      </w:pPr>
      <w:r>
        <w:rPr>
          <w:color w:val="000000"/>
          <w:lang w:val="en-US"/>
        </w:rPr>
        <w:t>This report provides the Vertical Analysis (Common-Size) of Engro Fertilizers Limited for</w:t>
      </w:r>
      <w:r>
        <w:rPr>
          <w:color w:val="000000"/>
          <w:lang w:val="en-US"/>
        </w:rPr>
        <w:br/>
        <w:t>the years 2023, 2024, and 2025. In the vertical analysis of the Balance Sheet, all items</w:t>
      </w:r>
      <w:r>
        <w:rPr>
          <w:color w:val="000000"/>
          <w:lang w:val="en-US"/>
        </w:rPr>
        <w:br/>
        <w:t>are calculated as percentages of Total Assets, while in the vertical analysis of the Income</w:t>
      </w:r>
      <w:r>
        <w:rPr>
          <w:color w:val="000000"/>
          <w:lang w:val="en-US"/>
        </w:rPr>
        <w:br/>
        <w:t>Statement, all items are computed as percentages of Net Sales.</w:t>
      </w:r>
      <w:r>
        <w:rPr>
          <w:color w:val="000000"/>
          <w:lang w:val="en-US"/>
        </w:rPr>
        <w:br/>
      </w:r>
      <w:r>
        <w:rPr>
          <w:color w:val="000000"/>
          <w:lang w:val="en-US"/>
        </w:rPr>
        <w:lastRenderedPageBreak/>
        <w:t>First, in 2023, the company exhibited good financial performance. Current assets to total assets ratio was appropriate, demonstrating sufficient short-term assets that could be used to cover the expenses. Costs were controlled well, making the company profitable.</w:t>
      </w:r>
      <w:r>
        <w:rPr>
          <w:color w:val="000000"/>
          <w:lang w:val="en-US"/>
        </w:rPr>
        <w:br/>
        <w:t xml:space="preserve">Second, 2024 can be regarded as a year in which there was significant progress in various fields. </w:t>
      </w:r>
      <w:proofErr w:type="gramStart"/>
      <w:r>
        <w:rPr>
          <w:color w:val="000000"/>
          <w:lang w:val="en-US"/>
        </w:rPr>
        <w:t>First of all</w:t>
      </w:r>
      <w:proofErr w:type="gramEnd"/>
      <w:r>
        <w:rPr>
          <w:color w:val="000000"/>
          <w:lang w:val="en-US"/>
        </w:rPr>
        <w:t xml:space="preserve">, revenue was higher than before, and operating </w:t>
      </w:r>
      <w:proofErr w:type="gramStart"/>
      <w:r>
        <w:rPr>
          <w:color w:val="000000"/>
          <w:lang w:val="en-US"/>
        </w:rPr>
        <w:t>efficiency was</w:t>
      </w:r>
      <w:proofErr w:type="gramEnd"/>
      <w:r>
        <w:rPr>
          <w:color w:val="000000"/>
          <w:lang w:val="en-US"/>
        </w:rPr>
        <w:t xml:space="preserve"> also increased significantly. The ratio of liabilities to total assets demonstrates that there were no major risks related to debts since their amount remained acceptable. Finally, profit margin improved due to cost management.</w:t>
      </w:r>
      <w:r>
        <w:rPr>
          <w:color w:val="000000"/>
          <w:lang w:val="en-US"/>
        </w:rPr>
        <w:br/>
        <w:t xml:space="preserve">Third, the </w:t>
      </w:r>
      <w:proofErr w:type="gramStart"/>
      <w:r>
        <w:rPr>
          <w:color w:val="000000"/>
          <w:lang w:val="en-US"/>
        </w:rPr>
        <w:t>2025 year</w:t>
      </w:r>
      <w:proofErr w:type="gramEnd"/>
      <w:r>
        <w:rPr>
          <w:color w:val="000000"/>
          <w:lang w:val="en-US"/>
        </w:rPr>
        <w:t xml:space="preserve"> was characterized by continuing growth and good financial condition of the firm. From the balance sheet, we can see better asset management and equity position. Income statement also shows good net income considering sales.</w:t>
      </w:r>
      <w:r>
        <w:rPr>
          <w:color w:val="000000"/>
          <w:lang w:val="en-US"/>
        </w:rPr>
        <w:br/>
        <w:t>Comparing those years, it is easy to observe that there was steady and continuous growth and sound financial condition demonstrated by the company.</w:t>
      </w:r>
    </w:p>
    <w:p w14:paraId="55AFCECC" w14:textId="77777777" w:rsidR="00AA4851" w:rsidRPr="00AA4851" w:rsidRDefault="00AA4851" w:rsidP="00AA4851">
      <w:pPr>
        <w:spacing w:line="360" w:lineRule="auto"/>
        <w:jc w:val="both"/>
        <w:rPr>
          <w:color w:val="000000"/>
          <w:lang w:val="en-US"/>
        </w:rPr>
      </w:pPr>
      <w:r>
        <w:rPr>
          <w:color w:val="000000"/>
          <w:lang w:val="en-US"/>
        </w:rPr>
        <w:t xml:space="preserve"> Common size analysis helps investors, students, and managers understand how each part of financial statements affects the performance of the firm.</w:t>
      </w:r>
    </w:p>
    <w:p w14:paraId="549D4073" w14:textId="77777777" w:rsidR="00AA4851" w:rsidRPr="00AA4851" w:rsidRDefault="00AA4851" w:rsidP="00AA4851">
      <w:pPr>
        <w:spacing w:line="360" w:lineRule="auto"/>
        <w:jc w:val="both"/>
        <w:rPr>
          <w:rFonts w:eastAsia="Arial"/>
          <w:b/>
          <w:bCs/>
          <w:color w:val="2E75B6"/>
          <w:sz w:val="28"/>
          <w:szCs w:val="28"/>
        </w:rPr>
      </w:pPr>
      <w:r>
        <w:rPr>
          <w:rFonts w:eastAsia="Arial"/>
          <w:b/>
          <w:bCs/>
          <w:color w:val="2E75B6"/>
          <w:sz w:val="28"/>
          <w:szCs w:val="28"/>
        </w:rPr>
        <w:t>Common Size Financial Statements</w:t>
      </w:r>
    </w:p>
    <w:p w14:paraId="2FBE5B89" w14:textId="77777777" w:rsidR="00AA4851" w:rsidRPr="00AA4851" w:rsidRDefault="00AA4851" w:rsidP="00AA4851">
      <w:pPr>
        <w:spacing w:line="360" w:lineRule="auto"/>
        <w:jc w:val="both"/>
        <w:rPr>
          <w:color w:val="000000"/>
          <w:lang w:val="en-US"/>
        </w:rPr>
      </w:pPr>
      <w:r>
        <w:rPr>
          <w:color w:val="000000"/>
          <w:lang w:val="en-US"/>
        </w:rPr>
        <w:t>Vertical analysis of balance sheet.</w:t>
      </w:r>
    </w:p>
    <w:p w14:paraId="11E50E91" w14:textId="77777777" w:rsidR="00976955" w:rsidRDefault="00AA4851" w:rsidP="00976955">
      <w:pPr>
        <w:keepNext/>
        <w:spacing w:line="360" w:lineRule="auto"/>
        <w:jc w:val="both"/>
      </w:pPr>
      <w:r>
        <w:rPr>
          <w:noProof/>
          <w:color w:val="000000"/>
          <w:lang w:val="en-ZW"/>
        </w:rPr>
        <w:lastRenderedPageBreak/>
        <w:drawing>
          <wp:inline distT="0" distB="0" distL="0" distR="0" wp14:anchorId="37D7B090" wp14:editId="24F4245F">
            <wp:extent cx="5486400" cy="4699000"/>
            <wp:effectExtent l="0" t="0" r="0" b="6350"/>
            <wp:docPr id="706217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699000"/>
                    </a:xfrm>
                    <a:prstGeom prst="rect">
                      <a:avLst/>
                    </a:prstGeom>
                    <a:noFill/>
                    <a:ln>
                      <a:noFill/>
                    </a:ln>
                  </pic:spPr>
                </pic:pic>
              </a:graphicData>
            </a:graphic>
          </wp:inline>
        </w:drawing>
      </w:r>
    </w:p>
    <w:p w14:paraId="34CA75DB" w14:textId="24F93776" w:rsidR="00AA4851" w:rsidRPr="00976955" w:rsidRDefault="00976955" w:rsidP="00976955">
      <w:pPr>
        <w:pStyle w:val="Caption"/>
        <w:keepNext/>
        <w:jc w:val="center"/>
        <w:rPr>
          <w:sz w:val="24"/>
          <w:szCs w:val="24"/>
        </w:rPr>
      </w:pPr>
      <w:bookmarkStart w:id="39" w:name="_Toc229826433"/>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7</w:t>
      </w:r>
      <w:r w:rsidRPr="00976955">
        <w:rPr>
          <w:sz w:val="24"/>
          <w:szCs w:val="24"/>
        </w:rPr>
        <w:fldChar w:fldCharType="end"/>
      </w:r>
      <w:r w:rsidRPr="00976955">
        <w:rPr>
          <w:sz w:val="24"/>
          <w:szCs w:val="24"/>
        </w:rPr>
        <w:t xml:space="preserve"> Common Size / Vertical </w:t>
      </w:r>
      <w:proofErr w:type="gramStart"/>
      <w:r w:rsidRPr="00976955">
        <w:rPr>
          <w:sz w:val="24"/>
          <w:szCs w:val="24"/>
        </w:rPr>
        <w:t>Analysis(</w:t>
      </w:r>
      <w:proofErr w:type="gramEnd"/>
      <w:r w:rsidRPr="00976955">
        <w:rPr>
          <w:sz w:val="24"/>
          <w:szCs w:val="24"/>
        </w:rPr>
        <w:t>Balance Sheet)</w:t>
      </w:r>
      <w:bookmarkEnd w:id="39"/>
    </w:p>
    <w:p w14:paraId="5618194A" w14:textId="77777777" w:rsidR="00AA4851" w:rsidRPr="00AA4851" w:rsidRDefault="00AA4851" w:rsidP="00AA4851">
      <w:pPr>
        <w:spacing w:line="360" w:lineRule="auto"/>
        <w:jc w:val="both"/>
        <w:rPr>
          <w:color w:val="000000"/>
          <w:lang w:val="en-US"/>
        </w:rPr>
      </w:pPr>
    </w:p>
    <w:p w14:paraId="758F17B4" w14:textId="77777777" w:rsidR="00AA4851" w:rsidRPr="00AA4851" w:rsidRDefault="00AA4851" w:rsidP="00AA4851">
      <w:pPr>
        <w:spacing w:line="360" w:lineRule="auto"/>
        <w:jc w:val="both"/>
        <w:rPr>
          <w:rFonts w:eastAsia="Arial"/>
          <w:b/>
          <w:bCs/>
          <w:color w:val="2E75B6"/>
          <w:sz w:val="28"/>
          <w:szCs w:val="28"/>
        </w:rPr>
      </w:pPr>
      <w:r>
        <w:rPr>
          <w:rFonts w:eastAsia="Arial"/>
          <w:b/>
          <w:bCs/>
          <w:color w:val="2E75B6"/>
          <w:sz w:val="28"/>
          <w:szCs w:val="28"/>
        </w:rPr>
        <w:t>Vertical analysis on income statement.</w:t>
      </w:r>
    </w:p>
    <w:p w14:paraId="1CA0162D" w14:textId="77777777" w:rsidR="00976955" w:rsidRDefault="00AA4851" w:rsidP="00976955">
      <w:pPr>
        <w:keepNext/>
        <w:spacing w:line="360" w:lineRule="auto"/>
        <w:jc w:val="both"/>
      </w:pPr>
      <w:r>
        <w:rPr>
          <w:noProof/>
          <w:color w:val="000000"/>
          <w:lang w:val="en-ZW"/>
        </w:rPr>
        <w:drawing>
          <wp:inline distT="0" distB="0" distL="0" distR="0" wp14:anchorId="689D656B" wp14:editId="069BD8B4">
            <wp:extent cx="5486400" cy="1822450"/>
            <wp:effectExtent l="0" t="0" r="0" b="6350"/>
            <wp:docPr id="8075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822450"/>
                    </a:xfrm>
                    <a:prstGeom prst="rect">
                      <a:avLst/>
                    </a:prstGeom>
                    <a:noFill/>
                    <a:ln>
                      <a:noFill/>
                    </a:ln>
                  </pic:spPr>
                </pic:pic>
              </a:graphicData>
            </a:graphic>
          </wp:inline>
        </w:drawing>
      </w:r>
    </w:p>
    <w:p w14:paraId="447F6AE1" w14:textId="24F1A6A2" w:rsidR="00976955" w:rsidRPr="00976955" w:rsidRDefault="00976955" w:rsidP="00976955">
      <w:pPr>
        <w:pStyle w:val="Caption"/>
        <w:keepNext/>
        <w:jc w:val="center"/>
        <w:rPr>
          <w:sz w:val="24"/>
          <w:szCs w:val="24"/>
        </w:rPr>
      </w:pPr>
      <w:bookmarkStart w:id="40" w:name="_Toc229826434"/>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8</w:t>
      </w:r>
      <w:r w:rsidRPr="00976955">
        <w:rPr>
          <w:sz w:val="24"/>
          <w:szCs w:val="24"/>
        </w:rPr>
        <w:fldChar w:fldCharType="end"/>
      </w:r>
      <w:r w:rsidRPr="00976955">
        <w:rPr>
          <w:sz w:val="24"/>
          <w:szCs w:val="24"/>
        </w:rPr>
        <w:t xml:space="preserve"> Common Size / Vertical </w:t>
      </w:r>
      <w:proofErr w:type="gramStart"/>
      <w:r w:rsidRPr="00976955">
        <w:rPr>
          <w:sz w:val="24"/>
          <w:szCs w:val="24"/>
        </w:rPr>
        <w:t>Analysis(</w:t>
      </w:r>
      <w:proofErr w:type="gramEnd"/>
      <w:r w:rsidRPr="00976955">
        <w:rPr>
          <w:sz w:val="24"/>
          <w:szCs w:val="24"/>
        </w:rPr>
        <w:t>Income Statement)</w:t>
      </w:r>
      <w:bookmarkEnd w:id="40"/>
    </w:p>
    <w:p w14:paraId="0D8D3CD8" w14:textId="1ABE967E" w:rsidR="00AA4851" w:rsidRPr="00AA4851" w:rsidRDefault="00AA4851" w:rsidP="00AA4851">
      <w:pPr>
        <w:spacing w:line="360" w:lineRule="auto"/>
        <w:jc w:val="both"/>
        <w:rPr>
          <w:color w:val="000000"/>
          <w:lang w:val="en-US"/>
        </w:rPr>
      </w:pPr>
      <w:r>
        <w:rPr>
          <w:b/>
          <w:bCs/>
          <w:color w:val="000000"/>
          <w:lang w:val="en-ZW"/>
        </w:rPr>
        <w:t xml:space="preserve"> </w:t>
      </w:r>
    </w:p>
    <w:p w14:paraId="7E63E609" w14:textId="77777777" w:rsidR="00AA4851" w:rsidRPr="00AA4851" w:rsidRDefault="00AA4851" w:rsidP="00AA4851">
      <w:pPr>
        <w:spacing w:line="360" w:lineRule="auto"/>
        <w:jc w:val="both"/>
        <w:rPr>
          <w:rFonts w:eastAsia="Arial"/>
          <w:b/>
          <w:bCs/>
          <w:color w:val="2E75B6"/>
          <w:sz w:val="28"/>
          <w:szCs w:val="28"/>
        </w:rPr>
      </w:pPr>
      <w:r>
        <w:rPr>
          <w:rFonts w:eastAsia="Arial"/>
          <w:b/>
          <w:bCs/>
          <w:color w:val="2E75B6"/>
          <w:sz w:val="28"/>
          <w:szCs w:val="28"/>
        </w:rPr>
        <w:lastRenderedPageBreak/>
        <w:t>Key Observations</w:t>
      </w:r>
    </w:p>
    <w:p w14:paraId="597CD09E" w14:textId="77777777" w:rsidR="00AA4851" w:rsidRPr="00AA4851" w:rsidRDefault="00AA4851" w:rsidP="00AA4851">
      <w:pPr>
        <w:spacing w:line="360" w:lineRule="auto"/>
        <w:jc w:val="both"/>
        <w:rPr>
          <w:color w:val="000000"/>
          <w:lang w:val="en-US"/>
        </w:rPr>
      </w:pPr>
      <w:r>
        <w:rPr>
          <w:color w:val="000000"/>
          <w:lang w:val="en-US"/>
        </w:rPr>
        <w:t>• Non-current Assets: Non-Current Assets have remained constant throughout the three-year period, and have accounted for around 46-48% of total assets.</w:t>
      </w:r>
      <w:r>
        <w:rPr>
          <w:color w:val="000000"/>
          <w:lang w:val="en-US"/>
        </w:rPr>
        <w:br/>
        <w:t>• Liquidity Ratio: It is clear from the common-size analysis that the current liabilities are an important element of the capital structure, and include trade payables and GIDC payables as the two major elements.</w:t>
      </w:r>
      <w:r>
        <w:rPr>
          <w:color w:val="000000"/>
          <w:lang w:val="en-US"/>
        </w:rPr>
        <w:br/>
        <w:t>• Inventory: An important point to be observed from the vertical analysis is that the stock in trade as a percentage of total assets has come down significantly in 2025, meaning good stock clearance or production/sale policy of the company.</w:t>
      </w:r>
      <w:r>
        <w:rPr>
          <w:color w:val="000000"/>
          <w:lang w:val="en-US"/>
        </w:rPr>
        <w:br/>
        <w:t>• Profitability: The lower part of the table depicts the analysis of Profitability, wherein margins are shown using vertical analysis of Income Statement.</w:t>
      </w:r>
    </w:p>
    <w:p w14:paraId="066D44CA" w14:textId="77777777" w:rsidR="00AA4851" w:rsidRPr="00AA4851" w:rsidRDefault="00AA4851" w:rsidP="00AA4851">
      <w:pPr>
        <w:spacing w:line="360" w:lineRule="auto"/>
        <w:jc w:val="both"/>
        <w:rPr>
          <w:color w:val="000000"/>
        </w:rPr>
      </w:pPr>
    </w:p>
    <w:p w14:paraId="16B24B94" w14:textId="77777777" w:rsidR="00691617" w:rsidRPr="00AA4851" w:rsidRDefault="00691617" w:rsidP="00AA4851">
      <w:pPr>
        <w:pStyle w:val="Heading1"/>
        <w:spacing w:before="400" w:after="120" w:line="360" w:lineRule="auto"/>
        <w:jc w:val="both"/>
        <w:rPr>
          <w:rFonts w:eastAsia="Arial"/>
          <w:b/>
          <w:bCs/>
          <w:color w:val="1F3864"/>
        </w:rPr>
      </w:pPr>
      <w:bookmarkStart w:id="41" w:name="_Toc229914492"/>
      <w:r>
        <w:rPr>
          <w:rFonts w:eastAsia="Arial"/>
          <w:b/>
          <w:bCs/>
          <w:color w:val="1F3864"/>
        </w:rPr>
        <w:t>Chapter 4: Horizontal (Index) Analysis</w:t>
      </w:r>
      <w:bookmarkEnd w:id="41"/>
    </w:p>
    <w:p w14:paraId="510A238A" w14:textId="77777777" w:rsidR="00691617" w:rsidRPr="00AA4851" w:rsidRDefault="00691617" w:rsidP="00AA4851">
      <w:pPr>
        <w:spacing w:line="360" w:lineRule="auto"/>
        <w:jc w:val="both"/>
        <w:rPr>
          <w:rFonts w:eastAsia="Arial"/>
          <w:b/>
          <w:bCs/>
          <w:color w:val="2E75B6"/>
          <w:sz w:val="28"/>
          <w:szCs w:val="28"/>
        </w:rPr>
      </w:pPr>
      <w:r>
        <w:rPr>
          <w:rFonts w:eastAsia="Arial"/>
          <w:b/>
          <w:bCs/>
          <w:color w:val="2E75B6"/>
          <w:sz w:val="28"/>
          <w:szCs w:val="28"/>
        </w:rPr>
        <w:t>4.1   Introduction</w:t>
      </w:r>
    </w:p>
    <w:p w14:paraId="0D023682" w14:textId="77777777" w:rsidR="00691617" w:rsidRPr="00AA4851" w:rsidRDefault="00691617" w:rsidP="00AA4851">
      <w:pPr>
        <w:spacing w:line="360" w:lineRule="auto"/>
        <w:jc w:val="both"/>
        <w:rPr>
          <w:lang w:val="en-US"/>
        </w:rPr>
      </w:pPr>
      <w:r>
        <w:rPr>
          <w:lang w:val="en-US"/>
        </w:rPr>
        <w:t xml:space="preserve">Horizontal analysis is simply a way of tracking how much each number in the financial statements has changed over time. We pick a starting year — in this case FY 2023 — assign it a value of </w:t>
      </w:r>
      <w:proofErr w:type="gramStart"/>
      <w:r>
        <w:rPr>
          <w:lang w:val="en-US"/>
        </w:rPr>
        <w:t>1.00, and</w:t>
      </w:r>
      <w:proofErr w:type="gramEnd"/>
      <w:r>
        <w:rPr>
          <w:lang w:val="en-US"/>
        </w:rPr>
        <w:t xml:space="preserve"> then see where everything stands relative to that point in the years that follow. Anything above 1.00 has grown; anything below has shrunk. It is a straightforward technique, but it is surprisingly effective at exposing trends that raw numbers can mask, especially when one item is growing far faster than everything else (Engro Fertilizers Limited, 2025).</w:t>
      </w:r>
    </w:p>
    <w:p w14:paraId="28F1D6BF" w14:textId="77777777" w:rsidR="00691617" w:rsidRPr="00AA4851" w:rsidRDefault="00691617" w:rsidP="00AA4851">
      <w:pPr>
        <w:spacing w:line="360" w:lineRule="auto"/>
        <w:jc w:val="both"/>
        <w:rPr>
          <w:rFonts w:eastAsia="Arial"/>
          <w:b/>
          <w:bCs/>
          <w:color w:val="2E75B6"/>
          <w:sz w:val="28"/>
          <w:szCs w:val="28"/>
        </w:rPr>
      </w:pPr>
      <w:proofErr w:type="gramStart"/>
      <w:r>
        <w:rPr>
          <w:rFonts w:eastAsia="Arial"/>
          <w:b/>
          <w:bCs/>
          <w:color w:val="2E75B6"/>
          <w:sz w:val="28"/>
          <w:szCs w:val="28"/>
        </w:rPr>
        <w:t>4.2  Horizontal</w:t>
      </w:r>
      <w:proofErr w:type="gramEnd"/>
      <w:r>
        <w:rPr>
          <w:rFonts w:eastAsia="Arial"/>
          <w:b/>
          <w:bCs/>
          <w:color w:val="2E75B6"/>
          <w:sz w:val="28"/>
          <w:szCs w:val="28"/>
        </w:rPr>
        <w:t xml:space="preserve"> Analysis Results</w:t>
      </w:r>
    </w:p>
    <w:p w14:paraId="39C80194" w14:textId="2A5157A2" w:rsidR="00976955" w:rsidRPr="00976955" w:rsidRDefault="00976955" w:rsidP="00976955">
      <w:pPr>
        <w:pStyle w:val="Caption"/>
        <w:keepNext/>
        <w:jc w:val="center"/>
        <w:rPr>
          <w:sz w:val="24"/>
          <w:szCs w:val="24"/>
        </w:rPr>
      </w:pPr>
      <w:bookmarkStart w:id="42" w:name="_Toc229826581"/>
      <w:r w:rsidRPr="00976955">
        <w:rPr>
          <w:sz w:val="24"/>
          <w:szCs w:val="24"/>
        </w:rPr>
        <w:t xml:space="preserve">Table </w:t>
      </w:r>
      <w:r w:rsidRPr="00976955">
        <w:rPr>
          <w:sz w:val="24"/>
          <w:szCs w:val="24"/>
        </w:rPr>
        <w:fldChar w:fldCharType="begin"/>
      </w:r>
      <w:r w:rsidRPr="00976955">
        <w:rPr>
          <w:sz w:val="24"/>
          <w:szCs w:val="24"/>
        </w:rPr>
        <w:instrText xml:space="preserve"> SEQ Table \* ARABIC </w:instrText>
      </w:r>
      <w:r w:rsidRPr="00976955">
        <w:rPr>
          <w:sz w:val="24"/>
          <w:szCs w:val="24"/>
        </w:rPr>
        <w:fldChar w:fldCharType="separate"/>
      </w:r>
      <w:r w:rsidRPr="00976955">
        <w:rPr>
          <w:sz w:val="24"/>
          <w:szCs w:val="24"/>
        </w:rPr>
        <w:t>7</w:t>
      </w:r>
      <w:r w:rsidRPr="00976955">
        <w:rPr>
          <w:sz w:val="24"/>
          <w:szCs w:val="24"/>
        </w:rPr>
        <w:fldChar w:fldCharType="end"/>
      </w:r>
      <w:r w:rsidRPr="00976955">
        <w:rPr>
          <w:sz w:val="24"/>
          <w:szCs w:val="24"/>
        </w:rPr>
        <w:t xml:space="preserve"> Horizontal Analysis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177"/>
        <w:gridCol w:w="1174"/>
        <w:gridCol w:w="1076"/>
        <w:gridCol w:w="1174"/>
        <w:gridCol w:w="1076"/>
        <w:gridCol w:w="1390"/>
      </w:tblGrid>
      <w:tr w:rsidR="00691617" w:rsidRPr="00AA4851" w14:paraId="00F08D75"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76F6978C" w14:textId="77777777" w:rsidR="00691617" w:rsidRPr="00AA4851" w:rsidRDefault="00691617" w:rsidP="00AA4851">
            <w:pPr>
              <w:spacing w:line="360" w:lineRule="auto"/>
              <w:jc w:val="both"/>
              <w:rPr>
                <w:lang w:val="en-US"/>
              </w:rPr>
            </w:pPr>
            <w:r>
              <w:rPr>
                <w:b/>
                <w:bCs/>
                <w:lang w:val="en-US"/>
              </w:rPr>
              <w:t>Item</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6D20D649" w14:textId="77777777" w:rsidR="00691617" w:rsidRPr="00AA4851" w:rsidRDefault="00691617" w:rsidP="00AA4851">
            <w:pPr>
              <w:spacing w:line="360" w:lineRule="auto"/>
              <w:jc w:val="both"/>
              <w:rPr>
                <w:lang w:val="en-US"/>
              </w:rPr>
            </w:pPr>
            <w:r>
              <w:rPr>
                <w:b/>
                <w:bCs/>
                <w:lang w:val="en-US"/>
              </w:rPr>
              <w:t>FY 2023 (Base)</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1FC99540" w14:textId="77777777" w:rsidR="00691617" w:rsidRPr="00AA4851" w:rsidRDefault="00691617" w:rsidP="00AA4851">
            <w:pPr>
              <w:spacing w:line="360" w:lineRule="auto"/>
              <w:jc w:val="both"/>
              <w:rPr>
                <w:lang w:val="en-US"/>
              </w:rPr>
            </w:pPr>
            <w:r>
              <w:rPr>
                <w:b/>
                <w:bCs/>
                <w:lang w:val="en-US"/>
              </w:rPr>
              <w:t>FY 2024 Index</w:t>
            </w:r>
          </w:p>
        </w:tc>
        <w:tc>
          <w:tcPr>
            <w:tcW w:w="1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136F6CED" w14:textId="77777777" w:rsidR="00691617" w:rsidRPr="00AA4851" w:rsidRDefault="00691617" w:rsidP="00AA4851">
            <w:pPr>
              <w:spacing w:line="360" w:lineRule="auto"/>
              <w:jc w:val="both"/>
              <w:rPr>
                <w:lang w:val="en-US"/>
              </w:rPr>
            </w:pPr>
            <w:r>
              <w:rPr>
                <w:b/>
                <w:bCs/>
                <w:lang w:val="en-US"/>
              </w:rPr>
              <w:t>% Change</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34B28E2D" w14:textId="77777777" w:rsidR="00691617" w:rsidRPr="00AA4851" w:rsidRDefault="00691617" w:rsidP="00AA4851">
            <w:pPr>
              <w:spacing w:line="360" w:lineRule="auto"/>
              <w:jc w:val="both"/>
              <w:rPr>
                <w:lang w:val="en-US"/>
              </w:rPr>
            </w:pPr>
            <w:r>
              <w:rPr>
                <w:b/>
                <w:bCs/>
                <w:lang w:val="en-US"/>
              </w:rPr>
              <w:t>FY 2025 Index</w:t>
            </w:r>
          </w:p>
        </w:tc>
        <w:tc>
          <w:tcPr>
            <w:tcW w:w="1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4105122A" w14:textId="77777777" w:rsidR="00691617" w:rsidRPr="00AA4851" w:rsidRDefault="00691617" w:rsidP="00AA4851">
            <w:pPr>
              <w:spacing w:line="360" w:lineRule="auto"/>
              <w:jc w:val="both"/>
              <w:rPr>
                <w:lang w:val="en-US"/>
              </w:rPr>
            </w:pPr>
            <w:r>
              <w:rPr>
                <w:b/>
                <w:bCs/>
                <w:lang w:val="en-US"/>
              </w:rPr>
              <w:t>% Change</w:t>
            </w:r>
          </w:p>
        </w:tc>
        <w:tc>
          <w:tcPr>
            <w:tcW w:w="1426"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7A96A979" w14:textId="28ACC9CD" w:rsidR="00691617" w:rsidRPr="00AA4851" w:rsidRDefault="00691617" w:rsidP="00AA4851">
            <w:pPr>
              <w:spacing w:line="360" w:lineRule="auto"/>
              <w:jc w:val="both"/>
              <w:rPr>
                <w:lang w:val="en-US"/>
              </w:rPr>
            </w:pPr>
            <w:r>
              <w:rPr>
                <w:b/>
                <w:bCs/>
                <w:lang w:val="en-US"/>
              </w:rPr>
              <w:t>FFC 2025</w:t>
            </w:r>
          </w:p>
        </w:tc>
      </w:tr>
      <w:tr w:rsidR="00691617" w:rsidRPr="00AA4851" w14:paraId="2868D25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76F76C8" w14:textId="77777777" w:rsidR="00691617" w:rsidRPr="00AA4851" w:rsidRDefault="00691617" w:rsidP="00AA4851">
            <w:pPr>
              <w:spacing w:line="360" w:lineRule="auto"/>
              <w:jc w:val="both"/>
              <w:rPr>
                <w:lang w:val="en-US"/>
              </w:rPr>
            </w:pPr>
            <w:r>
              <w:rPr>
                <w:lang w:val="en-US"/>
              </w:rPr>
              <w:t>Net Sales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A2C8FC0"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A93ADD4" w14:textId="77777777" w:rsidR="00691617" w:rsidRPr="00AA4851" w:rsidRDefault="00691617" w:rsidP="00AA4851">
            <w:pPr>
              <w:spacing w:line="360" w:lineRule="auto"/>
              <w:jc w:val="both"/>
              <w:rPr>
                <w:lang w:val="en-US"/>
              </w:rPr>
            </w:pPr>
            <w:r>
              <w:rPr>
                <w:lang w:val="en-US"/>
              </w:rPr>
              <w:t>1.147</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E805DA2" w14:textId="77777777" w:rsidR="00691617" w:rsidRPr="00AA4851" w:rsidRDefault="00691617" w:rsidP="00AA4851">
            <w:pPr>
              <w:spacing w:line="360" w:lineRule="auto"/>
              <w:jc w:val="both"/>
              <w:rPr>
                <w:lang w:val="en-US"/>
              </w:rPr>
            </w:pPr>
            <w:r>
              <w:rPr>
                <w:lang w:val="en-US"/>
              </w:rPr>
              <w:t>+14.7%</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0D94CB7F" w14:textId="77777777" w:rsidR="00691617" w:rsidRPr="00AA4851" w:rsidRDefault="00691617" w:rsidP="00AA4851">
            <w:pPr>
              <w:spacing w:line="360" w:lineRule="auto"/>
              <w:jc w:val="both"/>
              <w:rPr>
                <w:lang w:val="en-US"/>
              </w:rPr>
            </w:pPr>
            <w:r>
              <w:rPr>
                <w:lang w:val="en-US"/>
              </w:rPr>
              <w:t>1.060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04F9118" w14:textId="77777777" w:rsidR="00691617" w:rsidRPr="00AA4851" w:rsidRDefault="00691617" w:rsidP="00AA4851">
            <w:pPr>
              <w:spacing w:line="360" w:lineRule="auto"/>
              <w:jc w:val="both"/>
              <w:rPr>
                <w:lang w:val="en-US"/>
              </w:rPr>
            </w:pPr>
            <w:r>
              <w:rPr>
                <w:lang w:val="en-US"/>
              </w:rPr>
              <w:t>+6.0%</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77E03E9" w14:textId="77777777" w:rsidR="00691617" w:rsidRPr="00AA4851" w:rsidRDefault="00691617" w:rsidP="00AA4851">
            <w:pPr>
              <w:spacing w:line="360" w:lineRule="auto"/>
              <w:jc w:val="both"/>
              <w:rPr>
                <w:lang w:val="en-US"/>
              </w:rPr>
            </w:pPr>
            <w:r>
              <w:rPr>
                <w:lang w:val="en-US"/>
              </w:rPr>
              <w:t>2.163</w:t>
            </w:r>
          </w:p>
        </w:tc>
      </w:tr>
      <w:tr w:rsidR="00691617" w:rsidRPr="00AA4851" w14:paraId="0706CA06"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585A457F" w14:textId="77777777" w:rsidR="00691617" w:rsidRPr="00AA4851" w:rsidRDefault="00691617" w:rsidP="00AA4851">
            <w:pPr>
              <w:spacing w:line="360" w:lineRule="auto"/>
              <w:jc w:val="both"/>
              <w:rPr>
                <w:lang w:val="en-US"/>
              </w:rPr>
            </w:pPr>
            <w:r>
              <w:rPr>
                <w:lang w:val="en-US"/>
              </w:rPr>
              <w:t>Cost of Sales</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1A28F693"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30882C49" w14:textId="77777777" w:rsidR="00691617" w:rsidRPr="00AA4851" w:rsidRDefault="00691617" w:rsidP="00AA4851">
            <w:pPr>
              <w:spacing w:line="360" w:lineRule="auto"/>
              <w:jc w:val="both"/>
              <w:rPr>
                <w:lang w:val="en-US"/>
              </w:rPr>
            </w:pPr>
            <w:r>
              <w:rPr>
                <w:lang w:val="en-US"/>
              </w:rPr>
              <w:t>1.218</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317BFE9" w14:textId="77777777" w:rsidR="00691617" w:rsidRPr="00AA4851" w:rsidRDefault="00691617" w:rsidP="00AA4851">
            <w:pPr>
              <w:spacing w:line="360" w:lineRule="auto"/>
              <w:jc w:val="both"/>
              <w:rPr>
                <w:lang w:val="en-US"/>
              </w:rPr>
            </w:pPr>
            <w:r>
              <w:rPr>
                <w:lang w:val="en-US"/>
              </w:rPr>
              <w:t>+21.8%</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12A5437" w14:textId="77777777" w:rsidR="00691617" w:rsidRPr="00AA4851" w:rsidRDefault="00691617" w:rsidP="00AA4851">
            <w:pPr>
              <w:spacing w:line="360" w:lineRule="auto"/>
              <w:jc w:val="both"/>
              <w:rPr>
                <w:lang w:val="en-US"/>
              </w:rPr>
            </w:pPr>
            <w:r>
              <w:rPr>
                <w:lang w:val="en-US"/>
              </w:rPr>
              <w:t>1.087</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FEDA482" w14:textId="77777777" w:rsidR="00691617" w:rsidRPr="00AA4851" w:rsidRDefault="00691617" w:rsidP="00AA4851">
            <w:pPr>
              <w:spacing w:line="360" w:lineRule="auto"/>
              <w:jc w:val="both"/>
              <w:rPr>
                <w:lang w:val="en-US"/>
              </w:rPr>
            </w:pPr>
            <w:r>
              <w:rPr>
                <w:lang w:val="en-US"/>
              </w:rPr>
              <w:t>+8.7%</w:t>
            </w:r>
          </w:p>
        </w:tc>
        <w:tc>
          <w:tcPr>
            <w:tcW w:w="1426"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5ACD0A08" w14:textId="77777777" w:rsidR="00691617" w:rsidRPr="00AA4851" w:rsidRDefault="00691617" w:rsidP="00AA4851">
            <w:pPr>
              <w:spacing w:line="360" w:lineRule="auto"/>
              <w:jc w:val="both"/>
              <w:rPr>
                <w:lang w:val="en-US"/>
              </w:rPr>
            </w:pPr>
            <w:r>
              <w:rPr>
                <w:lang w:val="en-US"/>
              </w:rPr>
              <w:t>2.212</w:t>
            </w:r>
          </w:p>
        </w:tc>
      </w:tr>
      <w:tr w:rsidR="00691617" w:rsidRPr="00AA4851" w14:paraId="023070D4"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A80F7FC" w14:textId="77777777" w:rsidR="00691617" w:rsidRPr="00AA4851" w:rsidRDefault="00691617" w:rsidP="00AA4851">
            <w:pPr>
              <w:spacing w:line="360" w:lineRule="auto"/>
              <w:jc w:val="both"/>
              <w:rPr>
                <w:lang w:val="en-US"/>
              </w:rPr>
            </w:pPr>
            <w:r>
              <w:rPr>
                <w:lang w:val="en-US"/>
              </w:rPr>
              <w:t>Gross Profit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0B6540B"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DC2E723" w14:textId="77777777" w:rsidR="00691617" w:rsidRPr="00AA4851" w:rsidRDefault="00691617" w:rsidP="00AA4851">
            <w:pPr>
              <w:spacing w:line="360" w:lineRule="auto"/>
              <w:jc w:val="both"/>
              <w:rPr>
                <w:lang w:val="en-US"/>
              </w:rPr>
            </w:pPr>
            <w:r>
              <w:rPr>
                <w:lang w:val="en-US"/>
              </w:rPr>
              <w:t>1.000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92A0BF3" w14:textId="77777777" w:rsidR="00691617" w:rsidRPr="00AA4851" w:rsidRDefault="00691617" w:rsidP="00AA4851">
            <w:pPr>
              <w:spacing w:line="360" w:lineRule="auto"/>
              <w:jc w:val="both"/>
              <w:rPr>
                <w:lang w:val="en-US"/>
              </w:rPr>
            </w:pPr>
            <w:r>
              <w:rPr>
                <w:lang w:val="en-US"/>
              </w:rPr>
              <w:t>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D1921C5" w14:textId="77777777" w:rsidR="00691617" w:rsidRPr="00AA4851" w:rsidRDefault="00691617" w:rsidP="00AA4851">
            <w:pPr>
              <w:spacing w:line="360" w:lineRule="auto"/>
              <w:jc w:val="both"/>
              <w:rPr>
                <w:lang w:val="en-US"/>
              </w:rPr>
            </w:pPr>
            <w:r>
              <w:rPr>
                <w:lang w:val="en-US"/>
              </w:rPr>
              <w:t>1.004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831811F" w14:textId="77777777" w:rsidR="00691617" w:rsidRPr="00AA4851" w:rsidRDefault="00691617" w:rsidP="00AA4851">
            <w:pPr>
              <w:spacing w:line="360" w:lineRule="auto"/>
              <w:jc w:val="both"/>
              <w:rPr>
                <w:lang w:val="en-US"/>
              </w:rPr>
            </w:pPr>
            <w:r>
              <w:rPr>
                <w:lang w:val="en-US"/>
              </w:rPr>
              <w:t>+0.4%</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E335429" w14:textId="77777777" w:rsidR="00691617" w:rsidRPr="00AA4851" w:rsidRDefault="00691617" w:rsidP="00AA4851">
            <w:pPr>
              <w:spacing w:line="360" w:lineRule="auto"/>
              <w:jc w:val="both"/>
              <w:rPr>
                <w:lang w:val="en-US"/>
              </w:rPr>
            </w:pPr>
            <w:r>
              <w:rPr>
                <w:lang w:val="en-US"/>
              </w:rPr>
              <w:t>2.059</w:t>
            </w:r>
          </w:p>
        </w:tc>
      </w:tr>
      <w:tr w:rsidR="00691617" w:rsidRPr="00AA4851" w14:paraId="081F4F42"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176536E1" w14:textId="77777777" w:rsidR="00691617" w:rsidRPr="00AA4851" w:rsidRDefault="00691617" w:rsidP="00AA4851">
            <w:pPr>
              <w:spacing w:line="360" w:lineRule="auto"/>
              <w:jc w:val="both"/>
              <w:rPr>
                <w:lang w:val="en-US"/>
              </w:rPr>
            </w:pPr>
            <w:r>
              <w:rPr>
                <w:lang w:val="en-US"/>
              </w:rPr>
              <w:lastRenderedPageBreak/>
              <w:t>EBIT</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20F7229F"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3F7DFD0" w14:textId="77777777" w:rsidR="00691617" w:rsidRPr="00AA4851" w:rsidRDefault="00691617" w:rsidP="00AA4851">
            <w:pPr>
              <w:spacing w:line="360" w:lineRule="auto"/>
              <w:jc w:val="both"/>
              <w:rPr>
                <w:lang w:val="en-US"/>
              </w:rPr>
            </w:pPr>
            <w:r>
              <w:rPr>
                <w:lang w:val="en-US"/>
              </w:rPr>
              <w:t>0.909</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1752154B" w14:textId="77777777" w:rsidR="00691617" w:rsidRPr="00AA4851" w:rsidRDefault="00691617" w:rsidP="00AA4851">
            <w:pPr>
              <w:spacing w:line="360" w:lineRule="auto"/>
              <w:jc w:val="both"/>
              <w:rPr>
                <w:lang w:val="en-US"/>
              </w:rPr>
            </w:pPr>
            <w:r>
              <w:rPr>
                <w:lang w:val="en-US"/>
              </w:rPr>
              <w:t>−9.1%</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30792D9" w14:textId="77777777" w:rsidR="00691617" w:rsidRPr="00AA4851" w:rsidRDefault="00691617" w:rsidP="00AA4851">
            <w:pPr>
              <w:spacing w:line="360" w:lineRule="auto"/>
              <w:jc w:val="both"/>
              <w:rPr>
                <w:lang w:val="en-US"/>
              </w:rPr>
            </w:pPr>
            <w:r>
              <w:rPr>
                <w:lang w:val="en-US"/>
              </w:rPr>
              <w:t>0.871</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149955F1" w14:textId="77777777" w:rsidR="00691617" w:rsidRPr="00AA4851" w:rsidRDefault="00691617" w:rsidP="00AA4851">
            <w:pPr>
              <w:spacing w:line="360" w:lineRule="auto"/>
              <w:jc w:val="both"/>
              <w:rPr>
                <w:lang w:val="en-US"/>
              </w:rPr>
            </w:pPr>
            <w:r>
              <w:rPr>
                <w:lang w:val="en-US"/>
              </w:rPr>
              <w:t>−12.9%</w:t>
            </w:r>
          </w:p>
        </w:tc>
        <w:tc>
          <w:tcPr>
            <w:tcW w:w="1426"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5982C07D" w14:textId="77777777" w:rsidR="00691617" w:rsidRPr="00AA4851" w:rsidRDefault="00691617" w:rsidP="00AA4851">
            <w:pPr>
              <w:spacing w:line="360" w:lineRule="auto"/>
              <w:jc w:val="both"/>
              <w:rPr>
                <w:lang w:val="en-US"/>
              </w:rPr>
            </w:pPr>
            <w:r>
              <w:rPr>
                <w:lang w:val="en-US"/>
              </w:rPr>
              <w:t>2.027</w:t>
            </w:r>
          </w:p>
        </w:tc>
      </w:tr>
      <w:tr w:rsidR="00691617" w:rsidRPr="00AA4851" w14:paraId="3FE871B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4305445" w14:textId="77777777" w:rsidR="00691617" w:rsidRPr="00AA4851" w:rsidRDefault="00691617" w:rsidP="00AA4851">
            <w:pPr>
              <w:spacing w:line="360" w:lineRule="auto"/>
              <w:jc w:val="both"/>
              <w:rPr>
                <w:lang w:val="en-US"/>
              </w:rPr>
            </w:pPr>
            <w:r>
              <w:rPr>
                <w:lang w:val="en-US"/>
              </w:rPr>
              <w:t>Finance Cost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D1DA4DF"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54AD5A1" w14:textId="77777777" w:rsidR="00691617" w:rsidRPr="00AA4851" w:rsidRDefault="00691617" w:rsidP="00AA4851">
            <w:pPr>
              <w:spacing w:line="360" w:lineRule="auto"/>
              <w:jc w:val="both"/>
              <w:rPr>
                <w:lang w:val="en-US"/>
              </w:rPr>
            </w:pPr>
            <w:r>
              <w:rPr>
                <w:lang w:val="en-US"/>
              </w:rPr>
              <w:t>3.083</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2F25A6E" w14:textId="77777777" w:rsidR="00691617" w:rsidRPr="00AA4851" w:rsidRDefault="00691617" w:rsidP="00AA4851">
            <w:pPr>
              <w:spacing w:line="360" w:lineRule="auto"/>
              <w:jc w:val="both"/>
              <w:rPr>
                <w:lang w:val="en-US"/>
              </w:rPr>
            </w:pPr>
            <w:r>
              <w:rPr>
                <w:lang w:val="en-US"/>
              </w:rPr>
              <w:t>+208.3%</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683F8BD" w14:textId="77777777" w:rsidR="00691617" w:rsidRPr="00AA4851" w:rsidRDefault="00691617" w:rsidP="00AA4851">
            <w:pPr>
              <w:spacing w:line="360" w:lineRule="auto"/>
              <w:jc w:val="both"/>
              <w:rPr>
                <w:lang w:val="en-US"/>
              </w:rPr>
            </w:pPr>
            <w:r>
              <w:rPr>
                <w:lang w:val="en-US"/>
              </w:rPr>
              <w:t>4.609</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FEA4F24" w14:textId="77777777" w:rsidR="00691617" w:rsidRPr="00AA4851" w:rsidRDefault="00691617" w:rsidP="00AA4851">
            <w:pPr>
              <w:spacing w:line="360" w:lineRule="auto"/>
              <w:jc w:val="both"/>
              <w:rPr>
                <w:lang w:val="en-US"/>
              </w:rPr>
            </w:pPr>
            <w:r>
              <w:rPr>
                <w:lang w:val="en-US"/>
              </w:rPr>
              <w:t>+360.9%</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AEAE1E3" w14:textId="77777777" w:rsidR="00691617" w:rsidRPr="00AA4851" w:rsidRDefault="00691617" w:rsidP="00AA4851">
            <w:pPr>
              <w:spacing w:line="360" w:lineRule="auto"/>
              <w:jc w:val="both"/>
              <w:rPr>
                <w:lang w:val="en-US"/>
              </w:rPr>
            </w:pPr>
            <w:r>
              <w:rPr>
                <w:lang w:val="en-US"/>
              </w:rPr>
              <w:t>5.314</w:t>
            </w:r>
          </w:p>
        </w:tc>
      </w:tr>
      <w:tr w:rsidR="00691617" w:rsidRPr="00AA4851" w14:paraId="01160EB0"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535F78C8" w14:textId="77777777" w:rsidR="00691617" w:rsidRPr="00AA4851" w:rsidRDefault="00691617" w:rsidP="00AA4851">
            <w:pPr>
              <w:spacing w:line="360" w:lineRule="auto"/>
              <w:jc w:val="both"/>
              <w:rPr>
                <w:lang w:val="en-US"/>
              </w:rPr>
            </w:pPr>
            <w:r>
              <w:rPr>
                <w:lang w:val="en-US"/>
              </w:rPr>
              <w:t>Net Profit</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10A981CD"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51E55396" w14:textId="77777777" w:rsidR="00691617" w:rsidRPr="00AA4851" w:rsidRDefault="00691617" w:rsidP="00AA4851">
            <w:pPr>
              <w:spacing w:line="360" w:lineRule="auto"/>
              <w:jc w:val="both"/>
              <w:rPr>
                <w:lang w:val="en-US"/>
              </w:rPr>
            </w:pPr>
            <w:r>
              <w:rPr>
                <w:lang w:val="en-US"/>
              </w:rPr>
              <w:t>1.079</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65C49195" w14:textId="77777777" w:rsidR="00691617" w:rsidRPr="00AA4851" w:rsidRDefault="00691617" w:rsidP="00AA4851">
            <w:pPr>
              <w:spacing w:line="360" w:lineRule="auto"/>
              <w:jc w:val="both"/>
              <w:rPr>
                <w:lang w:val="en-US"/>
              </w:rPr>
            </w:pPr>
            <w:r>
              <w:rPr>
                <w:lang w:val="en-US"/>
              </w:rPr>
              <w:t>+7.9%</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111F724" w14:textId="77777777" w:rsidR="00691617" w:rsidRPr="00AA4851" w:rsidRDefault="00691617" w:rsidP="00AA4851">
            <w:pPr>
              <w:spacing w:line="360" w:lineRule="auto"/>
              <w:jc w:val="both"/>
              <w:rPr>
                <w:lang w:val="en-US"/>
              </w:rPr>
            </w:pPr>
            <w:r>
              <w:rPr>
                <w:lang w:val="en-US"/>
              </w:rPr>
              <w:t>0.864</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6942FD23" w14:textId="77777777" w:rsidR="00691617" w:rsidRPr="00AA4851" w:rsidRDefault="00691617" w:rsidP="00AA4851">
            <w:pPr>
              <w:spacing w:line="360" w:lineRule="auto"/>
              <w:jc w:val="both"/>
              <w:rPr>
                <w:lang w:val="en-US"/>
              </w:rPr>
            </w:pPr>
            <w:r>
              <w:rPr>
                <w:lang w:val="en-US"/>
              </w:rPr>
              <w:t>−13.6%</w:t>
            </w:r>
          </w:p>
        </w:tc>
        <w:tc>
          <w:tcPr>
            <w:tcW w:w="1426"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9F6187B" w14:textId="77777777" w:rsidR="00691617" w:rsidRPr="00AA4851" w:rsidRDefault="00691617" w:rsidP="00AA4851">
            <w:pPr>
              <w:spacing w:line="360" w:lineRule="auto"/>
              <w:jc w:val="both"/>
              <w:rPr>
                <w:lang w:val="en-US"/>
              </w:rPr>
            </w:pPr>
            <w:r>
              <w:rPr>
                <w:lang w:val="en-US"/>
              </w:rPr>
              <w:t>3.248</w:t>
            </w:r>
          </w:p>
        </w:tc>
      </w:tr>
      <w:tr w:rsidR="00691617" w:rsidRPr="00AA4851" w14:paraId="579BCD2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63E2DE9" w14:textId="77777777" w:rsidR="00691617" w:rsidRPr="00AA4851" w:rsidRDefault="00691617" w:rsidP="00AA4851">
            <w:pPr>
              <w:spacing w:line="360" w:lineRule="auto"/>
              <w:jc w:val="both"/>
              <w:rPr>
                <w:lang w:val="en-US"/>
              </w:rPr>
            </w:pPr>
            <w:r>
              <w:rPr>
                <w:lang w:val="en-US"/>
              </w:rPr>
              <w:t>Total Assets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A74116C"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1CD3001" w14:textId="77777777" w:rsidR="00691617" w:rsidRPr="00AA4851" w:rsidRDefault="00691617" w:rsidP="00AA4851">
            <w:pPr>
              <w:spacing w:line="360" w:lineRule="auto"/>
              <w:jc w:val="both"/>
              <w:rPr>
                <w:lang w:val="en-US"/>
              </w:rPr>
            </w:pPr>
            <w:r>
              <w:rPr>
                <w:lang w:val="en-US"/>
              </w:rPr>
              <w:t>1.061</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7B7730D" w14:textId="77777777" w:rsidR="00691617" w:rsidRPr="00AA4851" w:rsidRDefault="00691617" w:rsidP="00AA4851">
            <w:pPr>
              <w:spacing w:line="360" w:lineRule="auto"/>
              <w:jc w:val="both"/>
              <w:rPr>
                <w:lang w:val="en-US"/>
              </w:rPr>
            </w:pPr>
            <w:r>
              <w:rPr>
                <w:lang w:val="en-US"/>
              </w:rPr>
              <w:t>+6.1%</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3C587A6" w14:textId="77777777" w:rsidR="00691617" w:rsidRPr="00AA4851" w:rsidRDefault="00691617" w:rsidP="00AA4851">
            <w:pPr>
              <w:spacing w:line="360" w:lineRule="auto"/>
              <w:jc w:val="both"/>
              <w:rPr>
                <w:lang w:val="en-US"/>
              </w:rPr>
            </w:pPr>
            <w:r>
              <w:rPr>
                <w:lang w:val="en-US"/>
              </w:rPr>
              <w:t>1.238</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0BF1C18D" w14:textId="77777777" w:rsidR="00691617" w:rsidRPr="00AA4851" w:rsidRDefault="00691617" w:rsidP="00AA4851">
            <w:pPr>
              <w:spacing w:line="360" w:lineRule="auto"/>
              <w:jc w:val="both"/>
              <w:rPr>
                <w:lang w:val="en-US"/>
              </w:rPr>
            </w:pPr>
            <w:r>
              <w:rPr>
                <w:lang w:val="en-US"/>
              </w:rPr>
              <w:t>+23.8%</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49AF452" w14:textId="77777777" w:rsidR="00691617" w:rsidRPr="00AA4851" w:rsidRDefault="00691617" w:rsidP="00AA4851">
            <w:pPr>
              <w:spacing w:line="360" w:lineRule="auto"/>
              <w:jc w:val="both"/>
              <w:rPr>
                <w:lang w:val="en-US"/>
              </w:rPr>
            </w:pPr>
            <w:r>
              <w:rPr>
                <w:lang w:val="en-US"/>
              </w:rPr>
              <w:t>3.813</w:t>
            </w:r>
          </w:p>
        </w:tc>
      </w:tr>
      <w:tr w:rsidR="00691617" w:rsidRPr="00AA4851" w14:paraId="684695B7"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0F1AF398" w14:textId="77777777" w:rsidR="00691617" w:rsidRPr="00AA4851" w:rsidRDefault="00691617" w:rsidP="00AA4851">
            <w:pPr>
              <w:spacing w:line="360" w:lineRule="auto"/>
              <w:jc w:val="both"/>
              <w:rPr>
                <w:lang w:val="en-US"/>
              </w:rPr>
            </w:pPr>
            <w:r>
              <w:rPr>
                <w:lang w:val="en-US"/>
              </w:rPr>
              <w:t>Total Equity</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17FFC332"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9F018C0" w14:textId="77777777" w:rsidR="00691617" w:rsidRPr="00AA4851" w:rsidRDefault="00691617" w:rsidP="00AA4851">
            <w:pPr>
              <w:spacing w:line="360" w:lineRule="auto"/>
              <w:jc w:val="both"/>
              <w:rPr>
                <w:lang w:val="en-US"/>
              </w:rPr>
            </w:pPr>
            <w:r>
              <w:rPr>
                <w:lang w:val="en-US"/>
              </w:rPr>
              <w:t>0.991</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1AF25173" w14:textId="77777777" w:rsidR="00691617" w:rsidRPr="00AA4851" w:rsidRDefault="00691617" w:rsidP="00AA4851">
            <w:pPr>
              <w:spacing w:line="360" w:lineRule="auto"/>
              <w:jc w:val="both"/>
              <w:rPr>
                <w:lang w:val="en-US"/>
              </w:rPr>
            </w:pPr>
            <w:r>
              <w:rPr>
                <w:lang w:val="en-US"/>
              </w:rPr>
              <w:t>−0.9%</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5D2B5821" w14:textId="77777777" w:rsidR="00691617" w:rsidRPr="00AA4851" w:rsidRDefault="00691617" w:rsidP="00AA4851">
            <w:pPr>
              <w:spacing w:line="360" w:lineRule="auto"/>
              <w:jc w:val="both"/>
              <w:rPr>
                <w:lang w:val="en-US"/>
              </w:rPr>
            </w:pPr>
            <w:r>
              <w:rPr>
                <w:lang w:val="en-US"/>
              </w:rPr>
              <w:t>0.934</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62E0E265" w14:textId="77777777" w:rsidR="00691617" w:rsidRPr="00AA4851" w:rsidRDefault="00691617" w:rsidP="00AA4851">
            <w:pPr>
              <w:spacing w:line="360" w:lineRule="auto"/>
              <w:jc w:val="both"/>
              <w:rPr>
                <w:lang w:val="en-US"/>
              </w:rPr>
            </w:pPr>
            <w:r>
              <w:rPr>
                <w:lang w:val="en-US"/>
              </w:rPr>
              <w:t>−6.6%</w:t>
            </w:r>
          </w:p>
        </w:tc>
        <w:tc>
          <w:tcPr>
            <w:tcW w:w="1426"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685A38EC" w14:textId="77777777" w:rsidR="00691617" w:rsidRPr="00AA4851" w:rsidRDefault="00691617" w:rsidP="00AA4851">
            <w:pPr>
              <w:spacing w:line="360" w:lineRule="auto"/>
              <w:jc w:val="both"/>
              <w:rPr>
                <w:lang w:val="en-US"/>
              </w:rPr>
            </w:pPr>
            <w:r>
              <w:rPr>
                <w:lang w:val="en-US"/>
              </w:rPr>
              <w:t>5.528</w:t>
            </w:r>
          </w:p>
        </w:tc>
      </w:tr>
      <w:tr w:rsidR="00691617" w:rsidRPr="00AA4851" w14:paraId="58D1F633"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6EA8177" w14:textId="77777777" w:rsidR="00691617" w:rsidRPr="00AA4851" w:rsidRDefault="00691617" w:rsidP="00AA4851">
            <w:pPr>
              <w:spacing w:line="360" w:lineRule="auto"/>
              <w:jc w:val="both"/>
              <w:rPr>
                <w:lang w:val="en-US"/>
              </w:rPr>
            </w:pPr>
            <w:r>
              <w:rPr>
                <w:lang w:val="en-US"/>
              </w:rPr>
              <w:t>Total Liabilities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D75B954"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853922C" w14:textId="77777777" w:rsidR="00691617" w:rsidRPr="00AA4851" w:rsidRDefault="00691617" w:rsidP="00AA4851">
            <w:pPr>
              <w:spacing w:line="360" w:lineRule="auto"/>
              <w:jc w:val="both"/>
              <w:rPr>
                <w:lang w:val="en-US"/>
              </w:rPr>
            </w:pPr>
            <w:r>
              <w:rPr>
                <w:lang w:val="en-US"/>
              </w:rPr>
              <w:t>1.090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91B86D6" w14:textId="77777777" w:rsidR="00691617" w:rsidRPr="00AA4851" w:rsidRDefault="00691617" w:rsidP="00AA4851">
            <w:pPr>
              <w:spacing w:line="360" w:lineRule="auto"/>
              <w:jc w:val="both"/>
              <w:rPr>
                <w:lang w:val="en-US"/>
              </w:rPr>
            </w:pPr>
            <w:r>
              <w:rPr>
                <w:lang w:val="en-US"/>
              </w:rPr>
              <w:t>+9.0%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010AC50" w14:textId="77777777" w:rsidR="00691617" w:rsidRPr="00AA4851" w:rsidRDefault="00691617" w:rsidP="00AA4851">
            <w:pPr>
              <w:spacing w:line="360" w:lineRule="auto"/>
              <w:jc w:val="both"/>
              <w:rPr>
                <w:lang w:val="en-US"/>
              </w:rPr>
            </w:pPr>
            <w:r>
              <w:rPr>
                <w:lang w:val="en-US"/>
              </w:rPr>
              <w:t>1.367</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AAF5A78" w14:textId="77777777" w:rsidR="00691617" w:rsidRPr="00AA4851" w:rsidRDefault="00691617" w:rsidP="00AA4851">
            <w:pPr>
              <w:spacing w:line="360" w:lineRule="auto"/>
              <w:jc w:val="both"/>
              <w:rPr>
                <w:lang w:val="en-US"/>
              </w:rPr>
            </w:pPr>
            <w:r>
              <w:rPr>
                <w:lang w:val="en-US"/>
              </w:rPr>
              <w:t>+36.7%</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42E8C88" w14:textId="77777777" w:rsidR="00691617" w:rsidRPr="00AA4851" w:rsidRDefault="00691617" w:rsidP="00AA4851">
            <w:pPr>
              <w:spacing w:line="360" w:lineRule="auto"/>
              <w:jc w:val="both"/>
              <w:rPr>
                <w:lang w:val="en-US"/>
              </w:rPr>
            </w:pPr>
            <w:r>
              <w:rPr>
                <w:lang w:val="en-US"/>
              </w:rPr>
              <w:t>3.086</w:t>
            </w:r>
          </w:p>
        </w:tc>
      </w:tr>
      <w:tr w:rsidR="00691617" w:rsidRPr="00AA4851" w14:paraId="4BA7AE34"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09DEF698" w14:textId="77777777" w:rsidR="00691617" w:rsidRPr="00AA4851" w:rsidRDefault="00691617" w:rsidP="00AA4851">
            <w:pPr>
              <w:spacing w:line="360" w:lineRule="auto"/>
              <w:jc w:val="both"/>
              <w:rPr>
                <w:lang w:val="en-US"/>
              </w:rPr>
            </w:pPr>
            <w:r>
              <w:rPr>
                <w:lang w:val="en-US"/>
              </w:rPr>
              <w:t>LT Borrowings</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9A6E68E"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22E7BE6A" w14:textId="77777777" w:rsidR="00691617" w:rsidRPr="00AA4851" w:rsidRDefault="00691617" w:rsidP="00AA4851">
            <w:pPr>
              <w:spacing w:line="360" w:lineRule="auto"/>
              <w:jc w:val="both"/>
              <w:rPr>
                <w:lang w:val="en-US"/>
              </w:rPr>
            </w:pPr>
            <w:r>
              <w:rPr>
                <w:lang w:val="en-US"/>
              </w:rPr>
              <w:t>5.724</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2F80A068" w14:textId="77777777" w:rsidR="00691617" w:rsidRPr="00AA4851" w:rsidRDefault="00691617" w:rsidP="00AA4851">
            <w:pPr>
              <w:spacing w:line="360" w:lineRule="auto"/>
              <w:jc w:val="both"/>
              <w:rPr>
                <w:lang w:val="en-US"/>
              </w:rPr>
            </w:pPr>
            <w:r>
              <w:rPr>
                <w:lang w:val="en-US"/>
              </w:rPr>
              <w:t>+472.4%</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4967C96" w14:textId="77777777" w:rsidR="00691617" w:rsidRPr="00AA4851" w:rsidRDefault="00691617" w:rsidP="00AA4851">
            <w:pPr>
              <w:spacing w:line="360" w:lineRule="auto"/>
              <w:jc w:val="both"/>
              <w:rPr>
                <w:lang w:val="en-US"/>
              </w:rPr>
            </w:pPr>
            <w:r>
              <w:rPr>
                <w:lang w:val="en-US"/>
              </w:rPr>
              <w:t>9.012</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C367948" w14:textId="77777777" w:rsidR="00691617" w:rsidRPr="00AA4851" w:rsidRDefault="00691617" w:rsidP="00AA4851">
            <w:pPr>
              <w:spacing w:line="360" w:lineRule="auto"/>
              <w:jc w:val="both"/>
              <w:rPr>
                <w:lang w:val="en-US"/>
              </w:rPr>
            </w:pPr>
            <w:r>
              <w:rPr>
                <w:lang w:val="en-US"/>
              </w:rPr>
              <w:t>+801.2%</w:t>
            </w:r>
          </w:p>
        </w:tc>
        <w:tc>
          <w:tcPr>
            <w:tcW w:w="1426"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60D7A37C" w14:textId="77777777" w:rsidR="00691617" w:rsidRPr="00AA4851" w:rsidRDefault="00691617" w:rsidP="00AA4851">
            <w:pPr>
              <w:spacing w:line="360" w:lineRule="auto"/>
              <w:jc w:val="both"/>
              <w:rPr>
                <w:lang w:val="en-US"/>
              </w:rPr>
            </w:pPr>
            <w:r>
              <w:rPr>
                <w:lang w:val="en-US"/>
              </w:rPr>
              <w:t>15.553</w:t>
            </w:r>
          </w:p>
        </w:tc>
      </w:tr>
      <w:tr w:rsidR="00691617" w:rsidRPr="00AA4851" w14:paraId="2FA443B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AD2D8C7" w14:textId="77777777" w:rsidR="00691617" w:rsidRPr="00AA4851" w:rsidRDefault="00691617" w:rsidP="00AA4851">
            <w:pPr>
              <w:spacing w:line="360" w:lineRule="auto"/>
              <w:jc w:val="both"/>
              <w:rPr>
                <w:lang w:val="en-US"/>
              </w:rPr>
            </w:pPr>
            <w:r>
              <w:rPr>
                <w:lang w:val="en-US"/>
              </w:rPr>
              <w:t>Trade Debts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05D34CF9"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63C978B" w14:textId="77777777" w:rsidR="00691617" w:rsidRPr="00AA4851" w:rsidRDefault="00691617" w:rsidP="00AA4851">
            <w:pPr>
              <w:spacing w:line="360" w:lineRule="auto"/>
              <w:jc w:val="both"/>
              <w:rPr>
                <w:lang w:val="en-US"/>
              </w:rPr>
            </w:pPr>
            <w:r>
              <w:rPr>
                <w:lang w:val="en-US"/>
              </w:rPr>
              <w:t>2.834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D8E73FB" w14:textId="77777777" w:rsidR="00691617" w:rsidRPr="00AA4851" w:rsidRDefault="00691617" w:rsidP="00AA4851">
            <w:pPr>
              <w:spacing w:line="360" w:lineRule="auto"/>
              <w:jc w:val="both"/>
              <w:rPr>
                <w:lang w:val="en-US"/>
              </w:rPr>
            </w:pPr>
            <w:r>
              <w:rPr>
                <w:lang w:val="en-US"/>
              </w:rPr>
              <w:t>+183.4%</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D043EC5" w14:textId="77777777" w:rsidR="00691617" w:rsidRPr="00AA4851" w:rsidRDefault="00691617" w:rsidP="00AA4851">
            <w:pPr>
              <w:spacing w:line="360" w:lineRule="auto"/>
              <w:jc w:val="both"/>
              <w:rPr>
                <w:lang w:val="en-US"/>
              </w:rPr>
            </w:pPr>
            <w:r>
              <w:rPr>
                <w:lang w:val="en-US"/>
              </w:rPr>
              <w:t>5.784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6E8FC8F" w14:textId="77777777" w:rsidR="00691617" w:rsidRPr="00AA4851" w:rsidRDefault="00691617" w:rsidP="00AA4851">
            <w:pPr>
              <w:spacing w:line="360" w:lineRule="auto"/>
              <w:jc w:val="both"/>
              <w:rPr>
                <w:lang w:val="en-US"/>
              </w:rPr>
            </w:pPr>
            <w:r>
              <w:rPr>
                <w:lang w:val="en-US"/>
              </w:rPr>
              <w:t>+478.4%</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32DD07E" w14:textId="77777777" w:rsidR="00691617" w:rsidRPr="00AA4851" w:rsidRDefault="00691617" w:rsidP="00AA4851">
            <w:pPr>
              <w:spacing w:line="360" w:lineRule="auto"/>
              <w:jc w:val="both"/>
              <w:rPr>
                <w:lang w:val="en-US"/>
              </w:rPr>
            </w:pPr>
            <w:r>
              <w:rPr>
                <w:lang w:val="en-US"/>
              </w:rPr>
              <w:t>11.640</w:t>
            </w:r>
          </w:p>
        </w:tc>
      </w:tr>
      <w:tr w:rsidR="00691617" w:rsidRPr="00AA4851" w14:paraId="593E29CB"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BC7C549" w14:textId="77777777" w:rsidR="00691617" w:rsidRPr="00AA4851" w:rsidRDefault="00691617" w:rsidP="00AA4851">
            <w:pPr>
              <w:spacing w:line="360" w:lineRule="auto"/>
              <w:jc w:val="both"/>
              <w:rPr>
                <w:lang w:val="en-US"/>
              </w:rPr>
            </w:pPr>
            <w:r>
              <w:rPr>
                <w:lang w:val="en-US"/>
              </w:rPr>
              <w:t>Stock-in-Trade</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9E865A0"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38F7860" w14:textId="77777777" w:rsidR="00691617" w:rsidRPr="00AA4851" w:rsidRDefault="00691617" w:rsidP="00AA4851">
            <w:pPr>
              <w:spacing w:line="360" w:lineRule="auto"/>
              <w:jc w:val="both"/>
              <w:rPr>
                <w:lang w:val="en-US"/>
              </w:rPr>
            </w:pPr>
            <w:r>
              <w:rPr>
                <w:lang w:val="en-US"/>
              </w:rPr>
              <w:t>1.741</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6209DF21" w14:textId="77777777" w:rsidR="00691617" w:rsidRPr="00AA4851" w:rsidRDefault="00691617" w:rsidP="00AA4851">
            <w:pPr>
              <w:spacing w:line="360" w:lineRule="auto"/>
              <w:jc w:val="both"/>
              <w:rPr>
                <w:lang w:val="en-US"/>
              </w:rPr>
            </w:pPr>
            <w:r>
              <w:rPr>
                <w:lang w:val="en-US"/>
              </w:rPr>
              <w:t>+74.1%</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2FC1D054" w14:textId="77777777" w:rsidR="00691617" w:rsidRPr="00AA4851" w:rsidRDefault="00691617" w:rsidP="00AA4851">
            <w:pPr>
              <w:spacing w:line="360" w:lineRule="auto"/>
              <w:jc w:val="both"/>
              <w:rPr>
                <w:lang w:val="en-US"/>
              </w:rPr>
            </w:pPr>
            <w:r>
              <w:rPr>
                <w:lang w:val="en-US"/>
              </w:rPr>
              <w:t>1.673</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3961EA1A" w14:textId="77777777" w:rsidR="00691617" w:rsidRPr="00AA4851" w:rsidRDefault="00691617" w:rsidP="00AA4851">
            <w:pPr>
              <w:spacing w:line="360" w:lineRule="auto"/>
              <w:jc w:val="both"/>
              <w:rPr>
                <w:lang w:val="en-US"/>
              </w:rPr>
            </w:pPr>
            <w:r>
              <w:rPr>
                <w:lang w:val="en-US"/>
              </w:rPr>
              <w:t>+67.3%</w:t>
            </w:r>
          </w:p>
        </w:tc>
        <w:tc>
          <w:tcPr>
            <w:tcW w:w="1426"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C5EBB23" w14:textId="77777777" w:rsidR="00691617" w:rsidRPr="00AA4851" w:rsidRDefault="00691617" w:rsidP="00AA4851">
            <w:pPr>
              <w:spacing w:line="360" w:lineRule="auto"/>
              <w:jc w:val="both"/>
              <w:rPr>
                <w:lang w:val="en-US"/>
              </w:rPr>
            </w:pPr>
            <w:r>
              <w:rPr>
                <w:lang w:val="en-US"/>
              </w:rPr>
              <w:t>2.953</w:t>
            </w:r>
          </w:p>
        </w:tc>
      </w:tr>
      <w:tr w:rsidR="00691617" w:rsidRPr="00AA4851" w14:paraId="3B454594"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0D64928" w14:textId="77777777" w:rsidR="00691617" w:rsidRPr="00AA4851" w:rsidRDefault="00691617" w:rsidP="00AA4851">
            <w:pPr>
              <w:spacing w:line="360" w:lineRule="auto"/>
              <w:jc w:val="both"/>
              <w:rPr>
                <w:lang w:val="en-US"/>
              </w:rPr>
            </w:pPr>
            <w:r>
              <w:rPr>
                <w:lang w:val="en-US"/>
              </w:rPr>
              <w:t>Trade &amp; Other Payables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7C15965"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F8F7E0A" w14:textId="77777777" w:rsidR="00691617" w:rsidRPr="00AA4851" w:rsidRDefault="00691617" w:rsidP="00AA4851">
            <w:pPr>
              <w:spacing w:line="360" w:lineRule="auto"/>
              <w:jc w:val="both"/>
              <w:rPr>
                <w:lang w:val="en-US"/>
              </w:rPr>
            </w:pPr>
            <w:r>
              <w:rPr>
                <w:lang w:val="en-US"/>
              </w:rPr>
              <w:t>0.899</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EE31355" w14:textId="77777777" w:rsidR="00691617" w:rsidRPr="00AA4851" w:rsidRDefault="00691617" w:rsidP="00AA4851">
            <w:pPr>
              <w:spacing w:line="360" w:lineRule="auto"/>
              <w:jc w:val="both"/>
              <w:rPr>
                <w:lang w:val="en-US"/>
              </w:rPr>
            </w:pPr>
            <w:r>
              <w:rPr>
                <w:lang w:val="en-US"/>
              </w:rPr>
              <w:t>−10.1%</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8698B94" w14:textId="77777777" w:rsidR="00691617" w:rsidRPr="00AA4851" w:rsidRDefault="00691617" w:rsidP="00AA4851">
            <w:pPr>
              <w:spacing w:line="360" w:lineRule="auto"/>
              <w:jc w:val="both"/>
              <w:rPr>
                <w:lang w:val="en-US"/>
              </w:rPr>
            </w:pPr>
            <w:r>
              <w:rPr>
                <w:lang w:val="en-US"/>
              </w:rPr>
              <w:t>0.887</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041C9598" w14:textId="77777777" w:rsidR="00691617" w:rsidRPr="00AA4851" w:rsidRDefault="00691617" w:rsidP="00AA4851">
            <w:pPr>
              <w:spacing w:line="360" w:lineRule="auto"/>
              <w:jc w:val="both"/>
              <w:rPr>
                <w:lang w:val="en-US"/>
              </w:rPr>
            </w:pPr>
            <w:r>
              <w:rPr>
                <w:lang w:val="en-US"/>
              </w:rPr>
              <w:t>−11.3%</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7A3A030" w14:textId="77777777" w:rsidR="00691617" w:rsidRPr="00AA4851" w:rsidRDefault="00691617" w:rsidP="00AA4851">
            <w:pPr>
              <w:spacing w:line="360" w:lineRule="auto"/>
              <w:jc w:val="both"/>
              <w:rPr>
                <w:lang w:val="en-US"/>
              </w:rPr>
            </w:pPr>
            <w:r>
              <w:rPr>
                <w:lang w:val="en-US"/>
              </w:rPr>
              <w:t>2.792</w:t>
            </w:r>
          </w:p>
        </w:tc>
      </w:tr>
      <w:tr w:rsidR="00691617" w:rsidRPr="00AA4851" w14:paraId="1D1CF731"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6B8B0712" w14:textId="77777777" w:rsidR="00691617" w:rsidRPr="00AA4851" w:rsidRDefault="00691617" w:rsidP="00AA4851">
            <w:pPr>
              <w:spacing w:line="360" w:lineRule="auto"/>
              <w:jc w:val="both"/>
              <w:rPr>
                <w:lang w:val="en-US"/>
              </w:rPr>
            </w:pPr>
            <w:r>
              <w:rPr>
                <w:lang w:val="en-US"/>
              </w:rPr>
              <w:t>Short-term Borrowings</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4F9B223E"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0D7D8329" w14:textId="77777777" w:rsidR="00691617" w:rsidRPr="00AA4851" w:rsidRDefault="00691617" w:rsidP="00AA4851">
            <w:pPr>
              <w:spacing w:line="360" w:lineRule="auto"/>
              <w:jc w:val="both"/>
              <w:rPr>
                <w:lang w:val="en-US"/>
              </w:rPr>
            </w:pPr>
            <w:r>
              <w:rPr>
                <w:lang w:val="en-US"/>
              </w:rPr>
              <w:t>23.49</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231D7F2F" w14:textId="77777777" w:rsidR="00691617" w:rsidRPr="00AA4851" w:rsidRDefault="00691617" w:rsidP="00AA4851">
            <w:pPr>
              <w:spacing w:line="360" w:lineRule="auto"/>
              <w:jc w:val="both"/>
              <w:rPr>
                <w:lang w:val="en-US"/>
              </w:rPr>
            </w:pPr>
            <w:r>
              <w:rPr>
                <w:lang w:val="en-US"/>
              </w:rPr>
              <w:t>+2249%</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3DA4E5E5" w14:textId="77777777" w:rsidR="00691617" w:rsidRPr="00AA4851" w:rsidRDefault="00691617" w:rsidP="00AA4851">
            <w:pPr>
              <w:spacing w:line="360" w:lineRule="auto"/>
              <w:jc w:val="both"/>
              <w:rPr>
                <w:lang w:val="en-US"/>
              </w:rPr>
            </w:pPr>
            <w:r>
              <w:rPr>
                <w:lang w:val="en-US"/>
              </w:rPr>
              <w:t>43.43</w:t>
            </w:r>
          </w:p>
        </w:tc>
        <w:tc>
          <w:tcPr>
            <w:tcW w:w="1000"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A146864" w14:textId="77777777" w:rsidR="00691617" w:rsidRPr="00AA4851" w:rsidRDefault="00691617" w:rsidP="00AA4851">
            <w:pPr>
              <w:spacing w:line="360" w:lineRule="auto"/>
              <w:jc w:val="both"/>
              <w:rPr>
                <w:lang w:val="en-US"/>
              </w:rPr>
            </w:pPr>
            <w:r>
              <w:rPr>
                <w:lang w:val="en-US"/>
              </w:rPr>
              <w:t>+4243%</w:t>
            </w:r>
          </w:p>
        </w:tc>
        <w:tc>
          <w:tcPr>
            <w:tcW w:w="1426" w:type="dxa"/>
            <w:tcBorders>
              <w:top w:val="single" w:sz="2" w:space="0" w:color="AAAAAA"/>
              <w:left w:val="single" w:sz="2" w:space="0" w:color="AAAAAA"/>
              <w:bottom w:val="single" w:sz="2" w:space="0" w:color="AAAAAA"/>
              <w:right w:val="single" w:sz="2" w:space="0" w:color="AAAAAA"/>
            </w:tcBorders>
            <w:shd w:val="clear" w:color="auto" w:fill="F5F8FF"/>
            <w:tcMar>
              <w:top w:w="80" w:type="dxa"/>
              <w:left w:w="100" w:type="dxa"/>
              <w:bottom w:w="80" w:type="dxa"/>
              <w:right w:w="100" w:type="dxa"/>
            </w:tcMar>
            <w:vAlign w:val="center"/>
            <w:hideMark/>
          </w:tcPr>
          <w:p w14:paraId="7BF5BB3C" w14:textId="77777777" w:rsidR="00691617" w:rsidRPr="00AA4851" w:rsidRDefault="00691617" w:rsidP="00AA4851">
            <w:pPr>
              <w:spacing w:line="360" w:lineRule="auto"/>
              <w:jc w:val="both"/>
              <w:rPr>
                <w:lang w:val="en-US"/>
              </w:rPr>
            </w:pPr>
            <w:r>
              <w:rPr>
                <w:lang w:val="en-US"/>
              </w:rPr>
              <w:t>41.52</w:t>
            </w:r>
          </w:p>
        </w:tc>
      </w:tr>
      <w:tr w:rsidR="00691617" w:rsidRPr="00AA4851" w14:paraId="5E0DCFE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B43D928" w14:textId="77777777" w:rsidR="00691617" w:rsidRPr="00AA4851" w:rsidRDefault="00691617" w:rsidP="00AA4851">
            <w:pPr>
              <w:spacing w:line="360" w:lineRule="auto"/>
              <w:jc w:val="both"/>
              <w:rPr>
                <w:lang w:val="en-US"/>
              </w:rPr>
            </w:pPr>
            <w:r>
              <w:rPr>
                <w:lang w:val="en-US"/>
              </w:rPr>
              <w:t>Cash &amp; Bank Balances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4EEC2DF" w14:textId="77777777" w:rsidR="00691617" w:rsidRPr="00AA4851" w:rsidRDefault="00691617" w:rsidP="00AA4851">
            <w:pPr>
              <w:spacing w:line="360" w:lineRule="auto"/>
              <w:jc w:val="both"/>
              <w:rPr>
                <w:lang w:val="en-US"/>
              </w:rPr>
            </w:pPr>
            <w:r>
              <w:rPr>
                <w:lang w:val="en-US"/>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06B6E239" w14:textId="77777777" w:rsidR="00691617" w:rsidRPr="00AA4851" w:rsidRDefault="00691617" w:rsidP="00AA4851">
            <w:pPr>
              <w:spacing w:line="360" w:lineRule="auto"/>
              <w:jc w:val="both"/>
              <w:rPr>
                <w:lang w:val="en-US"/>
              </w:rPr>
            </w:pPr>
            <w:r>
              <w:rPr>
                <w:lang w:val="en-US"/>
              </w:rPr>
              <w:t>1.063</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311145E7" w14:textId="77777777" w:rsidR="00691617" w:rsidRPr="00AA4851" w:rsidRDefault="00691617" w:rsidP="00AA4851">
            <w:pPr>
              <w:spacing w:line="360" w:lineRule="auto"/>
              <w:jc w:val="both"/>
              <w:rPr>
                <w:lang w:val="en-US"/>
              </w:rPr>
            </w:pPr>
            <w:r>
              <w:rPr>
                <w:lang w:val="en-US"/>
              </w:rPr>
              <w:t>+6.3%</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7EB3744C" w14:textId="77777777" w:rsidR="00691617" w:rsidRPr="00AA4851" w:rsidRDefault="00691617" w:rsidP="00AA4851">
            <w:pPr>
              <w:spacing w:line="360" w:lineRule="auto"/>
              <w:jc w:val="both"/>
              <w:rPr>
                <w:lang w:val="en-US"/>
              </w:rPr>
            </w:pPr>
            <w:r>
              <w:rPr>
                <w:lang w:val="en-US"/>
              </w:rPr>
              <w:t>1.984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5818F74" w14:textId="77777777" w:rsidR="00691617" w:rsidRPr="00AA4851" w:rsidRDefault="00691617" w:rsidP="00AA4851">
            <w:pPr>
              <w:spacing w:line="360" w:lineRule="auto"/>
              <w:jc w:val="both"/>
              <w:rPr>
                <w:lang w:val="en-US"/>
              </w:rPr>
            </w:pPr>
            <w:r>
              <w:rPr>
                <w:lang w:val="en-US"/>
              </w:rPr>
              <w:t>+98.4%</w:t>
            </w:r>
          </w:p>
        </w:tc>
        <w:tc>
          <w:tcPr>
            <w:tcW w:w="14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6693B1F" w14:textId="77777777" w:rsidR="00691617" w:rsidRPr="00AA4851" w:rsidRDefault="00691617" w:rsidP="00AA4851">
            <w:pPr>
              <w:spacing w:line="360" w:lineRule="auto"/>
              <w:jc w:val="both"/>
              <w:rPr>
                <w:lang w:val="en-US"/>
              </w:rPr>
            </w:pPr>
            <w:r>
              <w:rPr>
                <w:lang w:val="en-US"/>
              </w:rPr>
              <w:t>3.445</w:t>
            </w:r>
          </w:p>
        </w:tc>
      </w:tr>
    </w:tbl>
    <w:p w14:paraId="4BBD3FF6" w14:textId="77777777" w:rsidR="00976955" w:rsidRDefault="00691617" w:rsidP="00976955">
      <w:pPr>
        <w:keepNext/>
        <w:spacing w:line="360" w:lineRule="auto"/>
        <w:jc w:val="both"/>
      </w:pPr>
      <w:r>
        <w:rPr>
          <w:lang w:val="en-US"/>
        </w:rPr>
        <w:lastRenderedPageBreak/>
        <w:t xml:space="preserve">Source: Base year FY 2023 = 1.00. * FFC 2025 index computed relative to EFERT FY 2023 as a scale reference. Source: Excel workbook Sheet: Vertical + Horizontal. </w:t>
      </w:r>
      <w:r>
        <w:rPr>
          <w:noProof/>
          <w:lang w:val="en-US"/>
        </w:rPr>
        <w:drawing>
          <wp:inline distT="0" distB="0" distL="0" distR="0" wp14:anchorId="73A832D0" wp14:editId="4A3AA8F3">
            <wp:extent cx="5715000" cy="2635250"/>
            <wp:effectExtent l="0" t="0" r="0" b="0"/>
            <wp:docPr id="2137948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2635250"/>
                    </a:xfrm>
                    <a:prstGeom prst="rect">
                      <a:avLst/>
                    </a:prstGeom>
                    <a:noFill/>
                    <a:ln>
                      <a:noFill/>
                    </a:ln>
                  </pic:spPr>
                </pic:pic>
              </a:graphicData>
            </a:graphic>
          </wp:inline>
        </w:drawing>
      </w:r>
    </w:p>
    <w:p w14:paraId="558D1E38" w14:textId="0DDF4A3E" w:rsidR="00691617" w:rsidRPr="00B974E5" w:rsidRDefault="00976955" w:rsidP="00B974E5">
      <w:pPr>
        <w:pStyle w:val="Caption"/>
        <w:keepNext/>
        <w:jc w:val="center"/>
        <w:rPr>
          <w:sz w:val="24"/>
          <w:szCs w:val="24"/>
        </w:rPr>
      </w:pPr>
      <w:bookmarkStart w:id="43" w:name="_Toc229826435"/>
      <w:r w:rsidRPr="00976955">
        <w:rPr>
          <w:sz w:val="24"/>
          <w:szCs w:val="24"/>
        </w:rPr>
        <w:t xml:space="preserve">Figure </w:t>
      </w:r>
      <w:r w:rsidRPr="00976955">
        <w:rPr>
          <w:sz w:val="24"/>
          <w:szCs w:val="24"/>
        </w:rPr>
        <w:fldChar w:fldCharType="begin"/>
      </w:r>
      <w:r w:rsidRPr="00976955">
        <w:rPr>
          <w:sz w:val="24"/>
          <w:szCs w:val="24"/>
        </w:rPr>
        <w:instrText xml:space="preserve"> SEQ Figure \* ARABIC </w:instrText>
      </w:r>
      <w:r w:rsidRPr="00976955">
        <w:rPr>
          <w:sz w:val="24"/>
          <w:szCs w:val="24"/>
        </w:rPr>
        <w:fldChar w:fldCharType="separate"/>
      </w:r>
      <w:r w:rsidRPr="00976955">
        <w:rPr>
          <w:sz w:val="24"/>
          <w:szCs w:val="24"/>
        </w:rPr>
        <w:t>9</w:t>
      </w:r>
      <w:r w:rsidRPr="00976955">
        <w:rPr>
          <w:sz w:val="24"/>
          <w:szCs w:val="24"/>
        </w:rPr>
        <w:fldChar w:fldCharType="end"/>
      </w:r>
      <w:r w:rsidRPr="00976955">
        <w:rPr>
          <w:sz w:val="24"/>
          <w:szCs w:val="24"/>
        </w:rPr>
        <w:t xml:space="preserve"> Horizontal (Index) Analysis</w:t>
      </w:r>
      <w:bookmarkEnd w:id="43"/>
    </w:p>
    <w:p w14:paraId="21CD27C8" w14:textId="77777777" w:rsidR="00691617" w:rsidRPr="00AA4851" w:rsidRDefault="00691617" w:rsidP="00AA4851">
      <w:pPr>
        <w:spacing w:line="360" w:lineRule="auto"/>
        <w:jc w:val="both"/>
        <w:rPr>
          <w:lang w:val="en-US"/>
        </w:rPr>
      </w:pPr>
    </w:p>
    <w:p w14:paraId="567BEA8A" w14:textId="77777777" w:rsidR="00691617" w:rsidRPr="00AA4851" w:rsidRDefault="00691617" w:rsidP="00AA4851">
      <w:pPr>
        <w:spacing w:line="360" w:lineRule="auto"/>
        <w:jc w:val="both"/>
        <w:rPr>
          <w:rFonts w:eastAsia="Arial"/>
          <w:b/>
          <w:bCs/>
          <w:color w:val="2E75B6"/>
          <w:sz w:val="28"/>
          <w:szCs w:val="28"/>
        </w:rPr>
      </w:pPr>
      <w:r>
        <w:rPr>
          <w:rFonts w:eastAsia="Arial"/>
          <w:b/>
          <w:bCs/>
          <w:color w:val="2E75B6"/>
          <w:sz w:val="28"/>
          <w:szCs w:val="28"/>
        </w:rPr>
        <w:t>4.3   Discussion</w:t>
      </w:r>
    </w:p>
    <w:p w14:paraId="6AE18387" w14:textId="77777777" w:rsidR="00691617" w:rsidRPr="00AA4851" w:rsidRDefault="00691617" w:rsidP="00AA4851">
      <w:pPr>
        <w:spacing w:line="360" w:lineRule="auto"/>
        <w:jc w:val="both"/>
        <w:rPr>
          <w:lang w:val="en-US"/>
        </w:rPr>
      </w:pPr>
      <w:r>
        <w:rPr>
          <w:lang w:val="en-US"/>
        </w:rPr>
        <w:t>The revenue picture is more reassuring than it first appears. While sales did fall from the FY 2024 peak, FY 2025 revenues of PKR 237.1 billion were still 6.0 percent above the FY 2023 base — so the decline was a correction from an exceptional year, not a collapse. Net profit, however, did not hold up as well. It was 7.9 percent above base in FY 2024, then fell to 86.4 percent of the FY 2023 level in FY 2025, landing at PKR 22,628 million. Revenue held; profit did not — which points directly at what is happening below the gross margin line.</w:t>
      </w:r>
    </w:p>
    <w:p w14:paraId="687FB240" w14:textId="77777777" w:rsidR="00691617" w:rsidRPr="00AA4851" w:rsidRDefault="00691617" w:rsidP="00AA4851">
      <w:pPr>
        <w:spacing w:line="360" w:lineRule="auto"/>
        <w:jc w:val="both"/>
        <w:rPr>
          <w:lang w:val="en-US"/>
        </w:rPr>
      </w:pPr>
      <w:r>
        <w:rPr>
          <w:lang w:val="en-US"/>
        </w:rPr>
        <w:t xml:space="preserve">The debt numbers are where this analysis gets uncomfortable. Long-term borrowings multiplied 9.01 times in three years, rising from PKR 3,267 million to PKR 29,446 million. Short-term borrowings went from PKR 530 million to PKR 23,023 million — that is a 43-fold increase. Finance </w:t>
      </w:r>
      <w:proofErr w:type="gramStart"/>
      <w:r>
        <w:rPr>
          <w:lang w:val="en-US"/>
        </w:rPr>
        <w:t>cost</w:t>
      </w:r>
      <w:proofErr w:type="gramEnd"/>
      <w:r>
        <w:rPr>
          <w:lang w:val="en-US"/>
        </w:rPr>
        <w:t xml:space="preserve"> followed accordingly, growing 4.61 times from PKR 1,339 million to PKR 6,171 million, and that is precisely what has been compressing net profit despite stable revenues.</w:t>
      </w:r>
    </w:p>
    <w:p w14:paraId="05E623C9" w14:textId="77777777" w:rsidR="00691617" w:rsidRPr="00AA4851" w:rsidRDefault="00691617" w:rsidP="00AA4851">
      <w:pPr>
        <w:spacing w:line="360" w:lineRule="auto"/>
        <w:jc w:val="both"/>
        <w:rPr>
          <w:lang w:val="en-US"/>
        </w:rPr>
      </w:pPr>
      <w:r>
        <w:rPr>
          <w:lang w:val="en-US"/>
        </w:rPr>
        <w:t xml:space="preserve">Trade debts nearly sextupled (index 5.784), which tells us EFERT has been selling more on credit. That is not automatically a bad </w:t>
      </w:r>
      <w:proofErr w:type="gramStart"/>
      <w:r>
        <w:rPr>
          <w:lang w:val="en-US"/>
        </w:rPr>
        <w:t>thing, but</w:t>
      </w:r>
      <w:proofErr w:type="gramEnd"/>
      <w:r>
        <w:rPr>
          <w:lang w:val="en-US"/>
        </w:rPr>
        <w:t xml:space="preserve"> combined with the debt build-up it does add pressure on the cash flow side.</w:t>
      </w:r>
    </w:p>
    <w:p w14:paraId="68F78406" w14:textId="77777777" w:rsidR="00691617" w:rsidRPr="00AA4851" w:rsidRDefault="00691617" w:rsidP="00AA4851">
      <w:pPr>
        <w:spacing w:line="360" w:lineRule="auto"/>
        <w:jc w:val="both"/>
        <w:rPr>
          <w:lang w:val="en-US"/>
        </w:rPr>
      </w:pPr>
      <w:r>
        <w:rPr>
          <w:lang w:val="en-US"/>
        </w:rPr>
        <w:lastRenderedPageBreak/>
        <w:t>On the brighter side, gross profit barely moved in absolute terms (index 1.004) — meaning EFERT managed its production costs well enough to absorb the revenue swings without losing much at the gross level. Cash balances also nearly doubled (index 1.984), growing from PKR 4,054 million to PKR 8,043 million, which shows the core business is still generating healthy operating cash (Engro Fertilizers Limited, 2025).</w:t>
      </w:r>
    </w:p>
    <w:p w14:paraId="7A90C83F" w14:textId="77777777" w:rsidR="00691617" w:rsidRPr="00AA4851" w:rsidRDefault="00691617" w:rsidP="00AA4851">
      <w:pPr>
        <w:spacing w:line="360" w:lineRule="auto"/>
        <w:jc w:val="both"/>
        <w:rPr>
          <w:lang w:val="en-US"/>
        </w:rPr>
      </w:pPr>
    </w:p>
    <w:p w14:paraId="1F5F1293" w14:textId="77777777" w:rsidR="00691617" w:rsidRPr="00AA4851" w:rsidRDefault="00691617" w:rsidP="00AA4851">
      <w:pPr>
        <w:spacing w:line="360" w:lineRule="auto"/>
        <w:jc w:val="both"/>
        <w:rPr>
          <w:rFonts w:eastAsia="Arial"/>
          <w:b/>
          <w:bCs/>
          <w:color w:val="2E75B6"/>
          <w:sz w:val="28"/>
          <w:szCs w:val="28"/>
        </w:rPr>
      </w:pPr>
      <w:r>
        <w:rPr>
          <w:rFonts w:eastAsia="Arial"/>
          <w:b/>
          <w:bCs/>
          <w:color w:val="2E75B6"/>
          <w:sz w:val="28"/>
          <w:szCs w:val="28"/>
        </w:rPr>
        <w:t>4.4   Conclusion</w:t>
      </w:r>
    </w:p>
    <w:p w14:paraId="1D584448" w14:textId="77777777" w:rsidR="00691617" w:rsidRPr="00AA4851" w:rsidRDefault="00691617" w:rsidP="00AA4851">
      <w:pPr>
        <w:spacing w:line="360" w:lineRule="auto"/>
        <w:jc w:val="both"/>
        <w:rPr>
          <w:lang w:val="en-US"/>
        </w:rPr>
      </w:pPr>
      <w:r>
        <w:rPr>
          <w:lang w:val="en-US"/>
        </w:rPr>
        <w:t>The FFC comparison puts things in perspective. FFC's assets are 3.81 times EFERT's FY 2023 base and its profits 3.25 times — a reminder of the scale gap between the two companies. More telling is the equity comparison: FFC's equity index stands at 5.528 while EFERT's has slipped to 0.934. One company is building its equity base strongly; the other is slowly eroding it. That divergence will matter when either company faces tougher market conditions. Overall, the index analysis confirms that while EFERT's revenue and gross profit have remained largely stable, the rapid accumulation of debt and its associated costs represent the most significant financial challenge the company faces going into the future.</w:t>
      </w:r>
    </w:p>
    <w:p w14:paraId="657C1FDD" w14:textId="3B102BB9" w:rsidR="00691617" w:rsidRPr="00AA4851" w:rsidRDefault="004D372C" w:rsidP="00AA4851">
      <w:pPr>
        <w:pStyle w:val="Heading1"/>
        <w:spacing w:before="400" w:after="120" w:line="360" w:lineRule="auto"/>
        <w:jc w:val="both"/>
        <w:rPr>
          <w:rFonts w:eastAsia="Arial"/>
          <w:b/>
          <w:bCs/>
          <w:color w:val="1F3864"/>
        </w:rPr>
      </w:pPr>
      <w:bookmarkStart w:id="44" w:name="_Toc229914493"/>
      <w:r>
        <w:rPr>
          <w:rFonts w:eastAsia="Arial"/>
          <w:b/>
          <w:bCs/>
          <w:color w:val="1F3864"/>
        </w:rPr>
        <w:t>Chapter 5: Risk and Return Assessment Report</w:t>
      </w:r>
      <w:bookmarkEnd w:id="44"/>
    </w:p>
    <w:p w14:paraId="65DF5D37" w14:textId="77777777" w:rsidR="00691617" w:rsidRPr="00AA4851" w:rsidRDefault="00691617" w:rsidP="00AA4851">
      <w:pPr>
        <w:pStyle w:val="Heading1"/>
        <w:spacing w:line="360" w:lineRule="auto"/>
        <w:jc w:val="both"/>
        <w:rPr>
          <w:rFonts w:eastAsia="Arial"/>
          <w:b/>
          <w:bCs/>
          <w:color w:val="2E75B6"/>
          <w:sz w:val="28"/>
          <w:szCs w:val="28"/>
        </w:rPr>
      </w:pPr>
      <w:bookmarkStart w:id="45" w:name="_Toc229914494"/>
      <w:r>
        <w:rPr>
          <w:rFonts w:eastAsia="Arial"/>
          <w:b/>
          <w:bCs/>
          <w:color w:val="2E75B6"/>
          <w:sz w:val="28"/>
          <w:szCs w:val="28"/>
        </w:rPr>
        <w:t>1. Overview</w:t>
      </w:r>
      <w:bookmarkEnd w:id="45"/>
    </w:p>
    <w:p w14:paraId="4507F174" w14:textId="77777777" w:rsidR="00691617" w:rsidRPr="00AA4851" w:rsidRDefault="00691617" w:rsidP="00AA4851">
      <w:pPr>
        <w:spacing w:line="360" w:lineRule="auto"/>
        <w:jc w:val="both"/>
      </w:pPr>
      <w:r>
        <w:t xml:space="preserve">This report provides risk and </w:t>
      </w:r>
      <w:proofErr w:type="gramStart"/>
      <w:r>
        <w:t>return</w:t>
      </w:r>
      <w:proofErr w:type="gramEnd"/>
      <w:r>
        <w:t xml:space="preserve"> analysis for Engro Fertilizers (EFERT) compared against its primary competitor, Fauji Fertilizer Company (FFC). The data and calculation </w:t>
      </w:r>
      <w:proofErr w:type="gramStart"/>
      <w:r>
        <w:t>is</w:t>
      </w:r>
      <w:proofErr w:type="gramEnd"/>
      <w:r>
        <w:t xml:space="preserve"> based on historical daily returns from the Pakistan Stock Exchange over last 3 months of year 2025.</w:t>
      </w:r>
    </w:p>
    <w:p w14:paraId="5CC6CD40" w14:textId="77777777" w:rsidR="00691617" w:rsidRPr="00AA4851" w:rsidRDefault="00691617" w:rsidP="00AA4851">
      <w:pPr>
        <w:pStyle w:val="Heading1"/>
        <w:spacing w:line="360" w:lineRule="auto"/>
        <w:jc w:val="both"/>
        <w:rPr>
          <w:color w:val="000000" w:themeColor="text1"/>
        </w:rPr>
      </w:pPr>
      <w:bookmarkStart w:id="46" w:name="_Toc229914495"/>
      <w:r>
        <w:rPr>
          <w:rFonts w:eastAsia="Arial"/>
          <w:b/>
          <w:bCs/>
          <w:color w:val="2E75B6"/>
          <w:sz w:val="28"/>
          <w:szCs w:val="28"/>
        </w:rPr>
        <w:t>2. Performance Metrics Comparison</w:t>
      </w:r>
      <w:bookmarkEnd w:id="46"/>
    </w:p>
    <w:tbl>
      <w:tblPr>
        <w:tblStyle w:val="TableGrid"/>
        <w:tblW w:w="0" w:type="auto"/>
        <w:tblLook w:val="04A0" w:firstRow="1" w:lastRow="0" w:firstColumn="1" w:lastColumn="0" w:noHBand="0" w:noVBand="1"/>
      </w:tblPr>
      <w:tblGrid>
        <w:gridCol w:w="2880"/>
        <w:gridCol w:w="2880"/>
        <w:gridCol w:w="2880"/>
      </w:tblGrid>
      <w:tr w:rsidR="00691617" w:rsidRPr="00AA4851" w14:paraId="782B54A5" w14:textId="77777777" w:rsidTr="00432062">
        <w:tc>
          <w:tcPr>
            <w:tcW w:w="2880" w:type="dxa"/>
          </w:tcPr>
          <w:p w14:paraId="51BCEF7C"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Metric</w:t>
            </w:r>
          </w:p>
        </w:tc>
        <w:tc>
          <w:tcPr>
            <w:tcW w:w="2880" w:type="dxa"/>
          </w:tcPr>
          <w:p w14:paraId="583C3CB7"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Engro (EFERT)</w:t>
            </w:r>
          </w:p>
        </w:tc>
        <w:tc>
          <w:tcPr>
            <w:tcW w:w="2880" w:type="dxa"/>
          </w:tcPr>
          <w:p w14:paraId="19F21C10"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FFC (Competitor)</w:t>
            </w:r>
          </w:p>
        </w:tc>
      </w:tr>
      <w:tr w:rsidR="00691617" w:rsidRPr="00AA4851" w14:paraId="1FDB86A6" w14:textId="77777777" w:rsidTr="00432062">
        <w:tc>
          <w:tcPr>
            <w:tcW w:w="2880" w:type="dxa"/>
          </w:tcPr>
          <w:p w14:paraId="315B3F0B"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Average Daily Return</w:t>
            </w:r>
          </w:p>
        </w:tc>
        <w:tc>
          <w:tcPr>
            <w:tcW w:w="2880" w:type="dxa"/>
          </w:tcPr>
          <w:p w14:paraId="148E61A4"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0.0106</w:t>
            </w:r>
          </w:p>
        </w:tc>
        <w:tc>
          <w:tcPr>
            <w:tcW w:w="2880" w:type="dxa"/>
          </w:tcPr>
          <w:p w14:paraId="35447F7C"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0.0087</w:t>
            </w:r>
          </w:p>
        </w:tc>
      </w:tr>
      <w:tr w:rsidR="00691617" w:rsidRPr="00AA4851" w14:paraId="0DEA8CAD" w14:textId="77777777" w:rsidTr="00432062">
        <w:tc>
          <w:tcPr>
            <w:tcW w:w="2880" w:type="dxa"/>
          </w:tcPr>
          <w:p w14:paraId="43C95689"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Standard Deviation (Risk)</w:t>
            </w:r>
          </w:p>
        </w:tc>
        <w:tc>
          <w:tcPr>
            <w:tcW w:w="2880" w:type="dxa"/>
          </w:tcPr>
          <w:p w14:paraId="1E09A382"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0.0138</w:t>
            </w:r>
          </w:p>
        </w:tc>
        <w:tc>
          <w:tcPr>
            <w:tcW w:w="2880" w:type="dxa"/>
          </w:tcPr>
          <w:p w14:paraId="72D26E9E"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0.0115</w:t>
            </w:r>
          </w:p>
        </w:tc>
      </w:tr>
      <w:tr w:rsidR="00691617" w:rsidRPr="00AA4851" w14:paraId="2C01B6B7" w14:textId="77777777" w:rsidTr="00432062">
        <w:tc>
          <w:tcPr>
            <w:tcW w:w="2880" w:type="dxa"/>
          </w:tcPr>
          <w:p w14:paraId="7A238443"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Coefficient of Variation (CV)</w:t>
            </w:r>
          </w:p>
        </w:tc>
        <w:tc>
          <w:tcPr>
            <w:tcW w:w="2880" w:type="dxa"/>
          </w:tcPr>
          <w:p w14:paraId="3F96001E"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1.3028</w:t>
            </w:r>
          </w:p>
        </w:tc>
        <w:tc>
          <w:tcPr>
            <w:tcW w:w="2880" w:type="dxa"/>
          </w:tcPr>
          <w:p w14:paraId="788F4973"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1.3245</w:t>
            </w:r>
          </w:p>
        </w:tc>
      </w:tr>
      <w:tr w:rsidR="00691617" w:rsidRPr="00AA4851" w14:paraId="61CD3778" w14:textId="77777777" w:rsidTr="00432062">
        <w:tc>
          <w:tcPr>
            <w:tcW w:w="2880" w:type="dxa"/>
          </w:tcPr>
          <w:p w14:paraId="58CB60B9"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Skewness</w:t>
            </w:r>
          </w:p>
        </w:tc>
        <w:tc>
          <w:tcPr>
            <w:tcW w:w="2880" w:type="dxa"/>
          </w:tcPr>
          <w:p w14:paraId="0D4A75AC"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-0.5812</w:t>
            </w:r>
          </w:p>
        </w:tc>
        <w:tc>
          <w:tcPr>
            <w:tcW w:w="2880" w:type="dxa"/>
          </w:tcPr>
          <w:p w14:paraId="7C910080"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-0.5992</w:t>
            </w:r>
          </w:p>
        </w:tc>
      </w:tr>
      <w:tr w:rsidR="00691617" w:rsidRPr="00AA4851" w14:paraId="1EA449D3" w14:textId="77777777" w:rsidTr="00432062">
        <w:tc>
          <w:tcPr>
            <w:tcW w:w="2880" w:type="dxa"/>
          </w:tcPr>
          <w:p w14:paraId="18D5D1EF"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Kurtosis</w:t>
            </w:r>
          </w:p>
        </w:tc>
        <w:tc>
          <w:tcPr>
            <w:tcW w:w="2880" w:type="dxa"/>
          </w:tcPr>
          <w:p w14:paraId="5DE38168"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-1.4261</w:t>
            </w:r>
          </w:p>
        </w:tc>
        <w:tc>
          <w:tcPr>
            <w:tcW w:w="2880" w:type="dxa"/>
          </w:tcPr>
          <w:p w14:paraId="7BE86CD6" w14:textId="77777777" w:rsidR="00691617" w:rsidRPr="00AA4851" w:rsidRDefault="00691617" w:rsidP="00AA4851">
            <w:pPr>
              <w:spacing w:line="360" w:lineRule="auto"/>
              <w:jc w:val="both"/>
              <w:rPr>
                <w:rFonts w:ascii="Times New Roman" w:hAnsi="Times New Roman" w:cs="Times New Roman"/>
              </w:rPr>
            </w:pPr>
            <w:r>
              <w:rPr>
                <w:rFonts w:ascii="Times New Roman" w:hAnsi="Times New Roman" w:cs="Times New Roman"/>
              </w:rPr>
              <w:t>-1.4304</w:t>
            </w:r>
          </w:p>
        </w:tc>
      </w:tr>
    </w:tbl>
    <w:p w14:paraId="1FB0F5B3" w14:textId="77777777" w:rsidR="00691617" w:rsidRPr="00AA4851" w:rsidRDefault="00691617" w:rsidP="00AA4851">
      <w:pPr>
        <w:pStyle w:val="Heading1"/>
        <w:spacing w:line="360" w:lineRule="auto"/>
        <w:jc w:val="both"/>
        <w:rPr>
          <w:rFonts w:eastAsia="Arial"/>
          <w:b/>
          <w:bCs/>
          <w:color w:val="2E75B6"/>
          <w:sz w:val="28"/>
          <w:szCs w:val="28"/>
        </w:rPr>
      </w:pPr>
      <w:bookmarkStart w:id="47" w:name="_Toc229914496"/>
      <w:r>
        <w:rPr>
          <w:rFonts w:eastAsia="Arial"/>
          <w:b/>
          <w:bCs/>
          <w:color w:val="2E75B6"/>
          <w:sz w:val="28"/>
          <w:szCs w:val="28"/>
        </w:rPr>
        <w:t>3. Risk-Adjusted Return Analysis (CV)</w:t>
      </w:r>
      <w:bookmarkEnd w:id="47"/>
    </w:p>
    <w:p w14:paraId="62CEA9E5" w14:textId="77777777" w:rsidR="00691617" w:rsidRPr="00AA4851" w:rsidRDefault="00691617" w:rsidP="00AA4851">
      <w:pPr>
        <w:spacing w:line="360" w:lineRule="auto"/>
        <w:jc w:val="both"/>
      </w:pPr>
      <w:r>
        <w:lastRenderedPageBreak/>
        <w:t>The Coefficient of Variation is a critical metric for investors as it measures the risk per unit of return. In this analysis, Engro has a CV of 1.3028, while FFC has a CV of 1.3245.</w:t>
      </w:r>
    </w:p>
    <w:p w14:paraId="2D58962D" w14:textId="77777777" w:rsidR="00691617" w:rsidRPr="00AA4851" w:rsidRDefault="00691617" w:rsidP="00AA4851">
      <w:pPr>
        <w:spacing w:line="360" w:lineRule="auto"/>
        <w:jc w:val="both"/>
      </w:pPr>
      <w:r>
        <w:t>A lower CV represents a more efficiency, minimizing risk while maximizing return, Engro fertilizers demonstrates slightly better risk-adjusted performance during this period, despite having higher overall volatility (Standard Deviation) than FFC.</w:t>
      </w:r>
    </w:p>
    <w:p w14:paraId="3A8609F9" w14:textId="77777777" w:rsidR="00691617" w:rsidRPr="00AA4851" w:rsidRDefault="00691617" w:rsidP="00AA4851">
      <w:pPr>
        <w:pStyle w:val="Heading1"/>
        <w:spacing w:line="360" w:lineRule="auto"/>
        <w:jc w:val="both"/>
        <w:rPr>
          <w:rFonts w:eastAsia="Arial"/>
          <w:b/>
          <w:bCs/>
          <w:color w:val="2E75B6"/>
          <w:sz w:val="28"/>
          <w:szCs w:val="28"/>
        </w:rPr>
      </w:pPr>
      <w:bookmarkStart w:id="48" w:name="_Toc229914497"/>
      <w:r>
        <w:rPr>
          <w:rFonts w:eastAsia="Arial"/>
          <w:b/>
          <w:bCs/>
          <w:color w:val="2E75B6"/>
          <w:sz w:val="28"/>
          <w:szCs w:val="28"/>
        </w:rPr>
        <w:t>4. Qualitative Risk Factors</w:t>
      </w:r>
      <w:bookmarkEnd w:id="48"/>
    </w:p>
    <w:p w14:paraId="43397631" w14:textId="77777777" w:rsidR="00691617" w:rsidRPr="00AA4851" w:rsidRDefault="00691617" w:rsidP="00AA4851">
      <w:pPr>
        <w:pStyle w:val="ListBullet"/>
        <w:tabs>
          <w:tab w:val="num" w:pos="360"/>
        </w:tabs>
        <w:spacing w:line="360" w:lineRule="auto"/>
        <w:ind w:left="360" w:hanging="360"/>
        <w:jc w:val="both"/>
        <w:rPr>
          <w:rFonts w:ascii="Times New Roman" w:hAnsi="Times New Roman" w:cs="Times New Roman"/>
        </w:rPr>
      </w:pPr>
      <w:r>
        <w:rPr>
          <w:rFonts w:ascii="Times New Roman" w:hAnsi="Times New Roman" w:cs="Times New Roman"/>
          <w:b/>
        </w:rPr>
        <w:t xml:space="preserve">GIDC Provision: </w:t>
      </w:r>
      <w:r>
        <w:rPr>
          <w:rFonts w:ascii="Times New Roman" w:hAnsi="Times New Roman" w:cs="Times New Roman"/>
        </w:rPr>
        <w:t xml:space="preserve">The company maintains a supplies of Rs. 19.6 billion for Gas Infrastructure Development </w:t>
      </w:r>
      <w:proofErr w:type="spellStart"/>
      <w:r>
        <w:rPr>
          <w:rFonts w:ascii="Times New Roman" w:hAnsi="Times New Roman" w:cs="Times New Roman"/>
        </w:rPr>
        <w:t>Cess</w:t>
      </w:r>
      <w:proofErr w:type="spellEnd"/>
      <w:r>
        <w:rPr>
          <w:rFonts w:ascii="Times New Roman" w:hAnsi="Times New Roman" w:cs="Times New Roman"/>
        </w:rPr>
        <w:t>, this remains a significant potential cash outflow risk.</w:t>
      </w:r>
    </w:p>
    <w:p w14:paraId="0E77FC63" w14:textId="77777777" w:rsidR="00691617" w:rsidRPr="00AA4851" w:rsidRDefault="00691617" w:rsidP="00AA4851">
      <w:pPr>
        <w:pStyle w:val="ListBullet"/>
        <w:tabs>
          <w:tab w:val="num" w:pos="360"/>
        </w:tabs>
        <w:spacing w:line="360" w:lineRule="auto"/>
        <w:ind w:left="360" w:hanging="360"/>
        <w:jc w:val="both"/>
        <w:rPr>
          <w:rFonts w:ascii="Times New Roman" w:hAnsi="Times New Roman" w:cs="Times New Roman"/>
        </w:rPr>
      </w:pPr>
      <w:r>
        <w:rPr>
          <w:rFonts w:ascii="Times New Roman" w:hAnsi="Times New Roman" w:cs="Times New Roman"/>
          <w:b/>
        </w:rPr>
        <w:t xml:space="preserve">Rising Debt Levels: </w:t>
      </w:r>
      <w:r>
        <w:rPr>
          <w:rFonts w:ascii="Times New Roman" w:hAnsi="Times New Roman" w:cs="Times New Roman"/>
        </w:rPr>
        <w:t>Debt-to-Equity has increased to 3.4x, indicating higher financial leverage and sensitivity to interest rate fluctuations.</w:t>
      </w:r>
    </w:p>
    <w:p w14:paraId="2C1A197D" w14:textId="77777777" w:rsidR="00691617" w:rsidRPr="00AA4851" w:rsidRDefault="00691617" w:rsidP="00AA4851">
      <w:pPr>
        <w:pStyle w:val="ListBullet"/>
        <w:tabs>
          <w:tab w:val="num" w:pos="360"/>
        </w:tabs>
        <w:spacing w:line="360" w:lineRule="auto"/>
        <w:ind w:left="360" w:hanging="360"/>
        <w:jc w:val="both"/>
        <w:rPr>
          <w:rFonts w:ascii="Times New Roman" w:hAnsi="Times New Roman" w:cs="Times New Roman"/>
        </w:rPr>
      </w:pPr>
      <w:r>
        <w:rPr>
          <w:rFonts w:ascii="Times New Roman" w:hAnsi="Times New Roman" w:cs="Times New Roman"/>
          <w:b/>
        </w:rPr>
        <w:t xml:space="preserve">Revenue Volatility: </w:t>
      </w:r>
      <w:r>
        <w:rPr>
          <w:rFonts w:ascii="Times New Roman" w:hAnsi="Times New Roman" w:cs="Times New Roman"/>
        </w:rPr>
        <w:t>A 25% drop in net sales (2025 vs 2024) highlights exposure to market pricing and volume fluctuations.</w:t>
      </w:r>
    </w:p>
    <w:p w14:paraId="00509ABE" w14:textId="77777777" w:rsidR="00691617" w:rsidRPr="00AA4851" w:rsidRDefault="00691617" w:rsidP="00AA4851">
      <w:pPr>
        <w:pStyle w:val="Heading1"/>
        <w:spacing w:line="360" w:lineRule="auto"/>
        <w:jc w:val="both"/>
        <w:rPr>
          <w:rFonts w:eastAsia="Arial"/>
          <w:b/>
          <w:bCs/>
          <w:color w:val="2E75B6"/>
          <w:sz w:val="28"/>
          <w:szCs w:val="28"/>
        </w:rPr>
      </w:pPr>
      <w:bookmarkStart w:id="49" w:name="_Toc229914498"/>
      <w:r>
        <w:rPr>
          <w:rFonts w:eastAsia="Arial"/>
          <w:b/>
          <w:bCs/>
          <w:color w:val="2E75B6"/>
          <w:sz w:val="28"/>
          <w:szCs w:val="28"/>
        </w:rPr>
        <w:t>5. Conclusion</w:t>
      </w:r>
      <w:bookmarkEnd w:id="49"/>
    </w:p>
    <w:p w14:paraId="2F4D25B2" w14:textId="77777777" w:rsidR="00691617" w:rsidRPr="00AA4851" w:rsidRDefault="00691617" w:rsidP="00AA4851">
      <w:pPr>
        <w:spacing w:line="360" w:lineRule="auto"/>
        <w:jc w:val="both"/>
      </w:pPr>
      <w:r>
        <w:t>While Engro Fertilizers exhibits higher volatility, its higher average returns result in a superior Coefficient of Variation compared to FFC. Investors should remain cautious of the increasing leverage factor and the unresolved GIDC provision which could impact future liquidity.</w:t>
      </w:r>
    </w:p>
    <w:p w14:paraId="5E403E71" w14:textId="77777777" w:rsidR="00691617" w:rsidRPr="00AA4851" w:rsidRDefault="00691617" w:rsidP="00AA4851">
      <w:pPr>
        <w:spacing w:line="360" w:lineRule="auto"/>
        <w:jc w:val="both"/>
        <w:rPr>
          <w:lang w:val="en-US"/>
        </w:rPr>
      </w:pPr>
    </w:p>
    <w:p w14:paraId="6CD9975B" w14:textId="2AC8C55D" w:rsidR="00F60791" w:rsidRPr="00AA4851" w:rsidRDefault="00232888" w:rsidP="00AA4851">
      <w:pPr>
        <w:spacing w:line="360" w:lineRule="auto"/>
        <w:jc w:val="both"/>
      </w:pPr>
      <w:r>
        <w:br/>
      </w:r>
    </w:p>
    <w:p w14:paraId="72908287" w14:textId="77777777" w:rsidR="00F60791" w:rsidRPr="00AA4851" w:rsidRDefault="00B321D9" w:rsidP="00AA4851">
      <w:pPr>
        <w:pStyle w:val="Heading1"/>
        <w:spacing w:before="400" w:after="120" w:line="360" w:lineRule="auto"/>
        <w:jc w:val="both"/>
      </w:pPr>
      <w:bookmarkStart w:id="50" w:name="_Toc229914499"/>
      <w:r>
        <w:rPr>
          <w:rFonts w:eastAsia="Arial"/>
          <w:b/>
          <w:bCs/>
          <w:color w:val="1F3864"/>
        </w:rPr>
        <w:t>Chapter 6: Conclusion</w:t>
      </w:r>
      <w:bookmarkEnd w:id="50"/>
    </w:p>
    <w:p w14:paraId="2CEC7AA4" w14:textId="77777777" w:rsidR="00F60791" w:rsidRPr="00AA4851" w:rsidRDefault="00B321D9" w:rsidP="00AA4851">
      <w:pPr>
        <w:pStyle w:val="Heading2"/>
        <w:spacing w:before="280" w:after="100" w:line="360" w:lineRule="auto"/>
        <w:jc w:val="both"/>
        <w:rPr>
          <w:sz w:val="28"/>
          <w:szCs w:val="28"/>
        </w:rPr>
      </w:pPr>
      <w:bookmarkStart w:id="51" w:name="_Toc229914500"/>
      <w:proofErr w:type="gramStart"/>
      <w:r>
        <w:rPr>
          <w:rFonts w:eastAsia="Arial"/>
          <w:b/>
          <w:bCs/>
          <w:color w:val="2E75B6"/>
          <w:sz w:val="28"/>
          <w:szCs w:val="28"/>
        </w:rPr>
        <w:t>6.1  Summary</w:t>
      </w:r>
      <w:proofErr w:type="gramEnd"/>
      <w:r>
        <w:rPr>
          <w:rFonts w:eastAsia="Arial"/>
          <w:b/>
          <w:bCs/>
          <w:color w:val="2E75B6"/>
          <w:sz w:val="28"/>
          <w:szCs w:val="28"/>
        </w:rPr>
        <w:t xml:space="preserve"> of Findings</w:t>
      </w:r>
      <w:bookmarkEnd w:id="51"/>
    </w:p>
    <w:p w14:paraId="1C4B679B" w14:textId="77777777" w:rsidR="00AB6ACC" w:rsidRPr="00AA4851" w:rsidRDefault="00AB6ACC" w:rsidP="00AA4851">
      <w:pPr>
        <w:spacing w:after="160" w:line="360" w:lineRule="auto"/>
        <w:jc w:val="both"/>
      </w:pPr>
      <w:r>
        <w:t xml:space="preserve">This report covered EFERT across FY 2023 to FY 2025 using five analytical frameworks: liquidity, leverage, coverage, activity and efficiency, and profitability, plus a risk and return comparison with FFC. Liquidity ratios stayed below 1.0 in all three years, mostly because a PKR 19,558 million GIDC provision sits in current liabilities but has not been paid due to a court case. Adjusting for this lifts the 2025 current ratio to around 0.93. Leverage changed the most: D/E went from 2.36x to 3.45x, debt-to-assets from 70.2% to 77.5%, and long-term debt to capital from 6.4% </w:t>
      </w:r>
      <w:r>
        <w:lastRenderedPageBreak/>
        <w:t>to 39.7%, driven by borrowings rising nine times on the long-term side and 43 times on the short-term side (Engro Fertilizers Limited, 2025).</w:t>
      </w:r>
    </w:p>
    <w:p w14:paraId="13D264DA" w14:textId="77777777" w:rsidR="00AB6ACC" w:rsidRPr="00AA4851" w:rsidRDefault="00AB6ACC" w:rsidP="00AA4851">
      <w:pPr>
        <w:spacing w:after="160" w:line="360" w:lineRule="auto"/>
        <w:jc w:val="both"/>
      </w:pPr>
      <w:r>
        <w:t>The TIE ratio fell from 40.83x in 2023 to 7.72x in 2025, still above the 3.0x safety floor but declining fast as finance costs nearly tripled. Common size analysis showed gross profit was stable at about 30.6% of sales in 2025, almost matching FFC’s 30.8%, though the net margin fell from 11.7% to 9.5% as selling expenses doubled and finance costs rose. The index analysis confirmed that while revenues stayed 6% above the 2023 base in 2025, net profit fell to 86.4% of the base due to ballooning interest costs. ROA declined from 16.6% to 11.4%, falling below FFC’s 13.9% for the first time.</w:t>
      </w:r>
    </w:p>
    <w:p w14:paraId="0973B3E0" w14:textId="77777777" w:rsidR="00AB6ACC" w:rsidRPr="00AA4851" w:rsidRDefault="00AB6ACC" w:rsidP="00AA4851">
      <w:pPr>
        <w:spacing w:after="160" w:line="360" w:lineRule="auto"/>
        <w:jc w:val="both"/>
      </w:pPr>
      <w:r>
        <w:t xml:space="preserve">Activity ratios worsened: the average collection period grew from 4.75 days to 25.93 </w:t>
      </w:r>
      <w:proofErr w:type="gramStart"/>
      <w:r>
        <w:t>days</w:t>
      </w:r>
      <w:proofErr w:type="gramEnd"/>
      <w:r>
        <w:t xml:space="preserve"> and inventory days rose from 37 to 57, pushing the operating cycle from 41.8 to 82.9 days. Despite this, the cash conversion cycle stayed deeply negative at −62.8 days because EFERT defers large payables to government-owned gas utilities, effectively using supplier credit as free financing. The risk and return analysis showed EFERT shares delivered a higher daily return of 1.06% but with higher volatility (SD 1.381%) compared to FFC (0.87%, SD 1.152%). EFERT’s Coefficient of Variation of 1.3028 was marginally better than FFC’s 1.3245, meaning slightly better risk-adjusted returns (Pakistan Stock Exchange, 2025).</w:t>
      </w:r>
    </w:p>
    <w:p w14:paraId="66DDC656" w14:textId="18DE1EAC" w:rsidR="00F60791" w:rsidRPr="00AA4851" w:rsidRDefault="00232888" w:rsidP="00AA4851">
      <w:pPr>
        <w:pStyle w:val="Heading2"/>
        <w:spacing w:before="280" w:after="100" w:line="360" w:lineRule="auto"/>
        <w:jc w:val="both"/>
        <w:rPr>
          <w:sz w:val="28"/>
          <w:szCs w:val="28"/>
        </w:rPr>
      </w:pPr>
      <w:r>
        <w:rPr>
          <w:color w:val="000000"/>
          <w:sz w:val="24"/>
          <w:szCs w:val="24"/>
        </w:rPr>
        <w:br/>
      </w:r>
      <w:bookmarkStart w:id="52" w:name="_Toc229914501"/>
      <w:proofErr w:type="gramStart"/>
      <w:r>
        <w:rPr>
          <w:rFonts w:eastAsia="Arial"/>
          <w:b/>
          <w:bCs/>
          <w:color w:val="2E75B6"/>
          <w:sz w:val="28"/>
          <w:szCs w:val="28"/>
        </w:rPr>
        <w:t>6.2  EFERT</w:t>
      </w:r>
      <w:proofErr w:type="gramEnd"/>
      <w:r>
        <w:rPr>
          <w:rFonts w:eastAsia="Arial"/>
          <w:b/>
          <w:bCs/>
          <w:color w:val="2E75B6"/>
          <w:sz w:val="28"/>
          <w:szCs w:val="28"/>
        </w:rPr>
        <w:t xml:space="preserve"> vs. FFC</w:t>
      </w:r>
      <w:bookmarkEnd w:id="52"/>
    </w:p>
    <w:p w14:paraId="007542E8" w14:textId="50DCA116" w:rsidR="00F60791" w:rsidRPr="00AA4851" w:rsidRDefault="00AB6ACC" w:rsidP="00AA4851">
      <w:pPr>
        <w:spacing w:after="160" w:line="360" w:lineRule="auto"/>
        <w:jc w:val="both"/>
      </w:pPr>
      <w:r>
        <w:t>Compared to FFC, EFERT offered higher shareholder returns but also carried more financial risk. FFC appeared more stable and conservative, while EFERT grew by taking on more debt.</w:t>
      </w:r>
    </w:p>
    <w:p w14:paraId="1A2B3C01" w14:textId="77777777" w:rsidR="00F60791" w:rsidRDefault="00B321D9" w:rsidP="00AA4851">
      <w:pPr>
        <w:pStyle w:val="Heading2"/>
        <w:spacing w:before="280" w:after="100" w:line="360" w:lineRule="auto"/>
        <w:jc w:val="both"/>
      </w:pPr>
      <w:bookmarkStart w:id="53" w:name="_Toc229914502"/>
      <w:proofErr w:type="gramStart"/>
      <w:r>
        <w:rPr>
          <w:rFonts w:eastAsia="Arial"/>
          <w:b/>
          <w:bCs/>
          <w:color w:val="2E75B6"/>
          <w:sz w:val="28"/>
          <w:szCs w:val="28"/>
        </w:rPr>
        <w:t>6.3  Recommendations</w:t>
      </w:r>
      <w:bookmarkEnd w:id="53"/>
      <w:proofErr w:type="gramEnd"/>
    </w:p>
    <w:p w14:paraId="1A2B3C02" w14:textId="77777777" w:rsidR="00F60791" w:rsidRDefault="00B321D9" w:rsidP="00AA4851">
      <w:pPr>
        <w:spacing w:after="160" w:line="360" w:lineRule="auto"/>
        <w:jc w:val="both"/>
      </w:pPr>
      <w:r>
        <w:t xml:space="preserve">First, EFERT needs to resolve the GIDC case. The PKR 19,558 million provision has been sitting in current liabilities for years without being paid and it is making liquidity ratios look worse than they are. Second, the average collection period has gone from under 5 days in 2023 to almost 26 days in 2025. With PKR 16,846 million in receivables, any defaults hit net profit directly, so tighter credit limits and faster follow-up are needed. Third, borrowing has grown too fast. Long-term borrowings went up nine times and short-term borrowings went up 43 times in three years. No </w:t>
      </w:r>
      <w:r>
        <w:lastRenderedPageBreak/>
        <w:t>new debt should be taken unless the return on it clearly exceeds the cost. Management should also set a clear D/E target and not go beyond it (Engro Fertilizers Limited, 2025).</w:t>
      </w:r>
    </w:p>
    <w:p w14:paraId="1A2B3C03" w14:textId="77777777" w:rsidR="00F60791" w:rsidRDefault="00B321D9" w:rsidP="00AA4851">
      <w:pPr>
        <w:pStyle w:val="Heading1"/>
        <w:spacing w:before="400" w:after="120" w:line="360" w:lineRule="auto"/>
        <w:jc w:val="both"/>
      </w:pPr>
      <w:bookmarkStart w:id="54" w:name="_Toc229914503"/>
      <w:r>
        <w:rPr>
          <w:rFonts w:eastAsia="Arial"/>
          <w:b/>
          <w:bCs/>
          <w:color w:val="1F3864"/>
        </w:rPr>
        <w:t>References</w:t>
      </w:r>
      <w:bookmarkEnd w:id="54"/>
    </w:p>
    <w:p w14:paraId="508CE2A5" w14:textId="77777777" w:rsidR="00F60791" w:rsidRPr="00AA4851" w:rsidRDefault="00B321D9" w:rsidP="00AA4851">
      <w:pPr>
        <w:spacing w:after="160" w:line="360" w:lineRule="auto"/>
        <w:ind w:left="720" w:hanging="720"/>
        <w:jc w:val="both"/>
      </w:pPr>
      <w:r>
        <w:t>Engro Fertilizers Limited. (2023). Annual report 2023. https://www.engrofertilizers.com/investor-relations/annual-reports/</w:t>
      </w:r>
    </w:p>
    <w:p w14:paraId="47DFAAC8" w14:textId="77777777" w:rsidR="00F60791" w:rsidRPr="00AA4851" w:rsidRDefault="00B321D9" w:rsidP="00AA4851">
      <w:pPr>
        <w:spacing w:after="160" w:line="360" w:lineRule="auto"/>
        <w:ind w:left="720" w:hanging="720"/>
        <w:jc w:val="both"/>
      </w:pPr>
      <w:r>
        <w:t>Engro Fertilizers Limited. (2024). Annual report 2024. https://www.engrofertilizers.com/investor-relations/annual-reports/</w:t>
      </w:r>
    </w:p>
    <w:p w14:paraId="6AA7A880" w14:textId="77777777" w:rsidR="00F60791" w:rsidRPr="00AA4851" w:rsidRDefault="00B321D9" w:rsidP="00AA4851">
      <w:pPr>
        <w:spacing w:after="160" w:line="360" w:lineRule="auto"/>
        <w:ind w:left="720" w:hanging="720"/>
        <w:jc w:val="both"/>
      </w:pPr>
      <w:r>
        <w:t>Engro Fertilizers Limited. (2025). Annual report 2025. https://www.engrofertilizers.com/investor-relations/annual-reports/</w:t>
      </w:r>
    </w:p>
    <w:p w14:paraId="3CF81B47" w14:textId="77777777" w:rsidR="00F60791" w:rsidRPr="00AA4851" w:rsidRDefault="00B321D9" w:rsidP="00AA4851">
      <w:pPr>
        <w:spacing w:after="160" w:line="360" w:lineRule="auto"/>
        <w:ind w:left="720" w:hanging="720"/>
        <w:jc w:val="both"/>
      </w:pPr>
      <w:r>
        <w:t>Fauji Fertilizer Company Limited. (2025). Annual report 2025. https://www.ffc.com.pk/investor-relations/</w:t>
      </w:r>
    </w:p>
    <w:p w14:paraId="1A2B3C10" w14:textId="77777777" w:rsidR="00F60791" w:rsidRDefault="00B321D9" w:rsidP="00AA4851">
      <w:pPr>
        <w:spacing w:after="160" w:line="360" w:lineRule="auto"/>
        <w:ind w:left="720" w:hanging="720"/>
        <w:jc w:val="both"/>
      </w:pPr>
      <w:r>
        <w:t>Pakistan Stock Exchange. (2025). Historical daily stock price data: EFERT &amp; FFC [Data set]. https://www.psx.com.pk</w:t>
      </w:r>
    </w:p>
    <w:p w14:paraId="1A2B3C11" w14:textId="77777777" w:rsidR="00F60791" w:rsidRDefault="00B321D9" w:rsidP="00AA4851">
      <w:pPr>
        <w:spacing w:after="160" w:line="360" w:lineRule="auto"/>
        <w:ind w:left="720" w:hanging="720"/>
        <w:jc w:val="both"/>
      </w:pPr>
      <w:r>
        <w:t>Van Horne, J. C., &amp; Wachowicz, J. M. (2008). Fundamentals of financial management (13th ed.). Prentice Hall.</w:t>
      </w:r>
    </w:p>
    <w:p w14:paraId="1A2B3C12" w14:textId="77777777" w:rsidR="00F60791" w:rsidRDefault="00B321D9" w:rsidP="00AA4851">
      <w:pPr>
        <w:spacing w:after="160" w:line="360" w:lineRule="auto"/>
        <w:ind w:left="720" w:hanging="720"/>
        <w:jc w:val="both"/>
      </w:pPr>
      <w:r>
        <w:t>Brigham, E. F., &amp; Houston, J. F. (2019). Fundamentals of financial management (15th ed.). Cengage Learning.</w:t>
      </w:r>
    </w:p>
    <w:sectPr w:rsidR="00F60791" w:rsidSect="0071660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ECF55" w14:textId="77777777" w:rsidR="00656467" w:rsidRDefault="00656467" w:rsidP="00976955">
      <w:r>
        <w:separator/>
      </w:r>
    </w:p>
  </w:endnote>
  <w:endnote w:type="continuationSeparator" w:id="0">
    <w:p w14:paraId="7CB552C0" w14:textId="77777777" w:rsidR="00656467" w:rsidRDefault="00656467" w:rsidP="00976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41537" w14:textId="77777777" w:rsidR="00656467" w:rsidRDefault="00656467" w:rsidP="00976955">
      <w:r>
        <w:separator/>
      </w:r>
    </w:p>
  </w:footnote>
  <w:footnote w:type="continuationSeparator" w:id="0">
    <w:p w14:paraId="7569AEC7" w14:textId="77777777" w:rsidR="00656467" w:rsidRDefault="00656467" w:rsidP="009769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2604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C15178"/>
    <w:multiLevelType w:val="hybridMultilevel"/>
    <w:tmpl w:val="505E9BE8"/>
    <w:lvl w:ilvl="0" w:tplc="A706FEA0">
      <w:start w:val="1"/>
      <w:numFmt w:val="bullet"/>
      <w:lvlText w:val="●"/>
      <w:lvlJc w:val="left"/>
      <w:pPr>
        <w:ind w:left="720" w:hanging="360"/>
      </w:pPr>
    </w:lvl>
    <w:lvl w:ilvl="1" w:tplc="DCDC9E9A">
      <w:start w:val="1"/>
      <w:numFmt w:val="bullet"/>
      <w:lvlText w:val="○"/>
      <w:lvlJc w:val="left"/>
      <w:pPr>
        <w:ind w:left="1440" w:hanging="360"/>
      </w:pPr>
    </w:lvl>
    <w:lvl w:ilvl="2" w:tplc="E81040EE">
      <w:start w:val="1"/>
      <w:numFmt w:val="bullet"/>
      <w:lvlText w:val="■"/>
      <w:lvlJc w:val="left"/>
      <w:pPr>
        <w:ind w:left="2160" w:hanging="360"/>
      </w:pPr>
    </w:lvl>
    <w:lvl w:ilvl="3" w:tplc="513269B2">
      <w:start w:val="1"/>
      <w:numFmt w:val="bullet"/>
      <w:lvlText w:val="●"/>
      <w:lvlJc w:val="left"/>
      <w:pPr>
        <w:ind w:left="2880" w:hanging="360"/>
      </w:pPr>
    </w:lvl>
    <w:lvl w:ilvl="4" w:tplc="3A9A7A18">
      <w:start w:val="1"/>
      <w:numFmt w:val="bullet"/>
      <w:lvlText w:val="○"/>
      <w:lvlJc w:val="left"/>
      <w:pPr>
        <w:ind w:left="3600" w:hanging="360"/>
      </w:pPr>
    </w:lvl>
    <w:lvl w:ilvl="5" w:tplc="51906E22">
      <w:start w:val="1"/>
      <w:numFmt w:val="bullet"/>
      <w:lvlText w:val="■"/>
      <w:lvlJc w:val="left"/>
      <w:pPr>
        <w:ind w:left="4320" w:hanging="360"/>
      </w:pPr>
    </w:lvl>
    <w:lvl w:ilvl="6" w:tplc="AFA032E6">
      <w:start w:val="1"/>
      <w:numFmt w:val="bullet"/>
      <w:lvlText w:val="●"/>
      <w:lvlJc w:val="left"/>
      <w:pPr>
        <w:ind w:left="5040" w:hanging="360"/>
      </w:pPr>
    </w:lvl>
    <w:lvl w:ilvl="7" w:tplc="2FA4337C">
      <w:start w:val="1"/>
      <w:numFmt w:val="bullet"/>
      <w:lvlText w:val="●"/>
      <w:lvlJc w:val="left"/>
      <w:pPr>
        <w:ind w:left="5760" w:hanging="360"/>
      </w:pPr>
    </w:lvl>
    <w:lvl w:ilvl="8" w:tplc="7892EF8A">
      <w:start w:val="1"/>
      <w:numFmt w:val="bullet"/>
      <w:lvlText w:val="●"/>
      <w:lvlJc w:val="left"/>
      <w:pPr>
        <w:ind w:left="6480" w:hanging="360"/>
      </w:pPr>
    </w:lvl>
  </w:abstractNum>
  <w:abstractNum w:abstractNumId="2" w15:restartNumberingAfterBreak="0">
    <w:nsid w:val="57F47CFF"/>
    <w:multiLevelType w:val="hybridMultilevel"/>
    <w:tmpl w:val="4D088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D935DED"/>
    <w:multiLevelType w:val="hybridMultilevel"/>
    <w:tmpl w:val="1202288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num w:numId="1" w16cid:durableId="1422215765">
    <w:abstractNumId w:val="1"/>
    <w:lvlOverride w:ilvl="0">
      <w:startOverride w:val="1"/>
    </w:lvlOverride>
  </w:num>
  <w:num w:numId="2" w16cid:durableId="1556770008">
    <w:abstractNumId w:val="3"/>
  </w:num>
  <w:num w:numId="3" w16cid:durableId="1113549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64632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791"/>
    <w:rsid w:val="000328D1"/>
    <w:rsid w:val="000644D3"/>
    <w:rsid w:val="000736E2"/>
    <w:rsid w:val="00094918"/>
    <w:rsid w:val="000B386A"/>
    <w:rsid w:val="000F79C0"/>
    <w:rsid w:val="001032B4"/>
    <w:rsid w:val="0011392D"/>
    <w:rsid w:val="001674C5"/>
    <w:rsid w:val="001E0A6B"/>
    <w:rsid w:val="00215B67"/>
    <w:rsid w:val="00230755"/>
    <w:rsid w:val="00232888"/>
    <w:rsid w:val="00245623"/>
    <w:rsid w:val="002A50F0"/>
    <w:rsid w:val="002F18B3"/>
    <w:rsid w:val="00451854"/>
    <w:rsid w:val="00495261"/>
    <w:rsid w:val="004D372C"/>
    <w:rsid w:val="004E01CC"/>
    <w:rsid w:val="00520DB2"/>
    <w:rsid w:val="005D2197"/>
    <w:rsid w:val="0061310E"/>
    <w:rsid w:val="00656467"/>
    <w:rsid w:val="00691617"/>
    <w:rsid w:val="006A6CEA"/>
    <w:rsid w:val="006B4E5F"/>
    <w:rsid w:val="006E7CE5"/>
    <w:rsid w:val="006F006E"/>
    <w:rsid w:val="006F05B1"/>
    <w:rsid w:val="006F252B"/>
    <w:rsid w:val="00700B16"/>
    <w:rsid w:val="00716602"/>
    <w:rsid w:val="007C206C"/>
    <w:rsid w:val="007D5EA5"/>
    <w:rsid w:val="007E3F7F"/>
    <w:rsid w:val="008C3FCB"/>
    <w:rsid w:val="00917000"/>
    <w:rsid w:val="00941222"/>
    <w:rsid w:val="00976955"/>
    <w:rsid w:val="009C4D16"/>
    <w:rsid w:val="009D57A7"/>
    <w:rsid w:val="009E7406"/>
    <w:rsid w:val="00A0068D"/>
    <w:rsid w:val="00A0642C"/>
    <w:rsid w:val="00A372C3"/>
    <w:rsid w:val="00A41412"/>
    <w:rsid w:val="00A603F3"/>
    <w:rsid w:val="00A621CE"/>
    <w:rsid w:val="00A83046"/>
    <w:rsid w:val="00AA4851"/>
    <w:rsid w:val="00AB6ACC"/>
    <w:rsid w:val="00AC2305"/>
    <w:rsid w:val="00AD2536"/>
    <w:rsid w:val="00B10FC9"/>
    <w:rsid w:val="00B321D9"/>
    <w:rsid w:val="00B72638"/>
    <w:rsid w:val="00B974E5"/>
    <w:rsid w:val="00C37C72"/>
    <w:rsid w:val="00CB5853"/>
    <w:rsid w:val="00CD6B92"/>
    <w:rsid w:val="00CE42DE"/>
    <w:rsid w:val="00D04BF7"/>
    <w:rsid w:val="00D60F1E"/>
    <w:rsid w:val="00DE17C5"/>
    <w:rsid w:val="00E029A3"/>
    <w:rsid w:val="00ED2EDB"/>
    <w:rsid w:val="00F438EE"/>
    <w:rsid w:val="00F60791"/>
    <w:rsid w:val="00F7613C"/>
    <w:rsid w:val="00F919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FC64"/>
  <w15:docId w15:val="{75A38543-DA8E-4DA6-A832-B91EA2FB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E3F7F"/>
    <w:rPr>
      <w:color w:val="605E5C"/>
      <w:shd w:val="clear" w:color="auto" w:fill="E1DFDD"/>
    </w:rPr>
  </w:style>
  <w:style w:type="character" w:customStyle="1" w:styleId="whitespace-normal">
    <w:name w:val="whitespace-normal"/>
    <w:basedOn w:val="DefaultParagraphFont"/>
    <w:rsid w:val="00691617"/>
  </w:style>
  <w:style w:type="character" w:styleId="Strong">
    <w:name w:val="Strong"/>
    <w:basedOn w:val="DefaultParagraphFont"/>
    <w:uiPriority w:val="22"/>
    <w:qFormat/>
    <w:rsid w:val="00691617"/>
    <w:rPr>
      <w:b/>
      <w:bCs/>
    </w:rPr>
  </w:style>
  <w:style w:type="character" w:customStyle="1" w:styleId="TitleChar">
    <w:name w:val="Title Char"/>
    <w:basedOn w:val="DefaultParagraphFont"/>
    <w:link w:val="Title"/>
    <w:uiPriority w:val="10"/>
    <w:rsid w:val="00691617"/>
    <w:rPr>
      <w:sz w:val="56"/>
      <w:szCs w:val="56"/>
    </w:rPr>
  </w:style>
  <w:style w:type="paragraph" w:styleId="ListBullet">
    <w:name w:val="List Bullet"/>
    <w:basedOn w:val="Normal"/>
    <w:uiPriority w:val="99"/>
    <w:unhideWhenUsed/>
    <w:rsid w:val="00691617"/>
    <w:pPr>
      <w:numPr>
        <w:numId w:val="4"/>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TableGrid">
    <w:name w:val="Table Grid"/>
    <w:basedOn w:val="TableNormal"/>
    <w:uiPriority w:val="59"/>
    <w:rsid w:val="00691617"/>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41412"/>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A41412"/>
    <w:pPr>
      <w:spacing w:after="100"/>
    </w:pPr>
  </w:style>
  <w:style w:type="paragraph" w:styleId="TOC2">
    <w:name w:val="toc 2"/>
    <w:basedOn w:val="Normal"/>
    <w:next w:val="Normal"/>
    <w:autoRedefine/>
    <w:uiPriority w:val="39"/>
    <w:unhideWhenUsed/>
    <w:rsid w:val="00A41412"/>
    <w:pPr>
      <w:spacing w:after="100"/>
      <w:ind w:left="240"/>
    </w:pPr>
  </w:style>
  <w:style w:type="paragraph" w:styleId="TableofFigures">
    <w:name w:val="table of figures"/>
    <w:basedOn w:val="Normal"/>
    <w:next w:val="Normal"/>
    <w:uiPriority w:val="99"/>
    <w:unhideWhenUsed/>
    <w:rsid w:val="00520DB2"/>
  </w:style>
  <w:style w:type="paragraph" w:styleId="Caption">
    <w:name w:val="caption"/>
    <w:basedOn w:val="Normal"/>
    <w:next w:val="Normal"/>
    <w:uiPriority w:val="35"/>
    <w:unhideWhenUsed/>
    <w:qFormat/>
    <w:rsid w:val="00976955"/>
    <w:pPr>
      <w:spacing w:after="200"/>
    </w:pPr>
    <w:rPr>
      <w:i/>
      <w:iCs/>
      <w:color w:val="0E2841" w:themeColor="text2"/>
      <w:sz w:val="18"/>
      <w:szCs w:val="18"/>
    </w:rPr>
  </w:style>
  <w:style w:type="paragraph" w:styleId="NoSpacing">
    <w:name w:val="No Spacing"/>
    <w:link w:val="NoSpacingChar"/>
    <w:uiPriority w:val="1"/>
    <w:qFormat/>
    <w:rsid w:val="009E740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E7406"/>
    <w:rPr>
      <w:rFonts w:asciiTheme="minorHAnsi" w:eastAsiaTheme="minorEastAsia" w:hAnsiTheme="minorHAnsi" w:cstheme="minorBidi"/>
      <w:sz w:val="22"/>
      <w:szCs w:val="22"/>
    </w:rPr>
  </w:style>
  <w:style w:type="table" w:styleId="PlainTable1">
    <w:name w:val="Plain Table 1"/>
    <w:basedOn w:val="TableNormal"/>
    <w:uiPriority w:val="99"/>
    <w:rsid w:val="00ED2EDB"/>
    <w:rPr>
      <w:rFonts w:asciiTheme="minorHAnsi" w:eastAsiaTheme="minorEastAsia"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07327">
      <w:bodyDiv w:val="1"/>
      <w:marLeft w:val="0"/>
      <w:marRight w:val="0"/>
      <w:marTop w:val="0"/>
      <w:marBottom w:val="0"/>
      <w:divBdr>
        <w:top w:val="none" w:sz="0" w:space="0" w:color="auto"/>
        <w:left w:val="none" w:sz="0" w:space="0" w:color="auto"/>
        <w:bottom w:val="none" w:sz="0" w:space="0" w:color="auto"/>
        <w:right w:val="none" w:sz="0" w:space="0" w:color="auto"/>
      </w:divBdr>
    </w:div>
    <w:div w:id="637223926">
      <w:bodyDiv w:val="1"/>
      <w:marLeft w:val="0"/>
      <w:marRight w:val="0"/>
      <w:marTop w:val="0"/>
      <w:marBottom w:val="0"/>
      <w:divBdr>
        <w:top w:val="none" w:sz="0" w:space="0" w:color="auto"/>
        <w:left w:val="none" w:sz="0" w:space="0" w:color="auto"/>
        <w:bottom w:val="none" w:sz="0" w:space="0" w:color="auto"/>
        <w:right w:val="none" w:sz="0" w:space="0" w:color="auto"/>
      </w:divBdr>
    </w:div>
    <w:div w:id="1739815101">
      <w:bodyDiv w:val="1"/>
      <w:marLeft w:val="0"/>
      <w:marRight w:val="0"/>
      <w:marTop w:val="0"/>
      <w:marBottom w:val="0"/>
      <w:divBdr>
        <w:top w:val="none" w:sz="0" w:space="0" w:color="auto"/>
        <w:left w:val="none" w:sz="0" w:space="0" w:color="auto"/>
        <w:bottom w:val="none" w:sz="0" w:space="0" w:color="auto"/>
        <w:right w:val="none" w:sz="0" w:space="0" w:color="auto"/>
      </w:divBdr>
    </w:div>
    <w:div w:id="1983001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Lim23</b:Tag>
    <b:SourceType>DocumentFromInternetSite</b:SourceType>
    <b:Guid>{4C8B83E8-61E0-42FF-90A3-04CC79793530}</b:Guid>
    <b:Author>
      <b:Author>
        <b:NameList>
          <b:Person>
            <b:Last>Limited</b:Last>
            <b:First>Engro</b:First>
            <b:Middle>Fertilizers</b:Middle>
          </b:Person>
        </b:NameList>
      </b:Author>
    </b:Author>
    <b:Title>Annual Report 2023</b:Title>
    <b:Year>2023</b:Year>
    <b:URL>https://dps.psx.com.pk/download/document/272025.pdf</b:URL>
    <b:RefOrder>2</b:RefOrder>
  </b:Source>
  <b:Source>
    <b:Tag>Eng25</b:Tag>
    <b:SourceType>DocumentFromInternetSite</b:SourceType>
    <b:Guid>{D94FC477-D117-437C-8225-0D27F837BB2B}</b:Guid>
    <b:Author>
      <b:Author>
        <b:NameList>
          <b:Person>
            <b:Last>Limited</b:Last>
            <b:First>Engro</b:First>
            <b:Middle>Fertilizers</b:Middle>
          </b:Person>
        </b:NameList>
      </b:Author>
    </b:Author>
    <b:Title>Annual Report 2025</b:Title>
    <b:Year>2025</b:Year>
    <b:URL>https://dps.psx.com.pk/download/document/272025.pdf</b:URL>
    <b:RefOrder>3</b:RefOrder>
  </b:Source>
  <b:Source>
    <b:Tag>Eng24</b:Tag>
    <b:SourceType>DocumentFromInternetSite</b:SourceType>
    <b:Guid>{1CEB2824-6B41-438A-9E47-7272C4D6F7D3}</b:Guid>
    <b:Author>
      <b:Author>
        <b:NameList>
          <b:Person>
            <b:Last>Limited</b:Last>
            <b:First>Engro</b:First>
            <b:Middle>Fertilizers</b:Middle>
          </b:Person>
        </b:NameList>
      </b:Author>
    </b:Author>
    <b:Title>Annual Report 2024</b:Title>
    <b:Year>2024</b:Year>
    <b:URL>https://www.engrofertilizers.com/themes/engro/documents/efert-annual-report-2024.pdf</b:URL>
    <b:RefOrder>4</b:RefOrder>
  </b:Source>
  <b:Source>
    <b:Tag>Fau25</b:Tag>
    <b:SourceType>DocumentFromInternetSite</b:SourceType>
    <b:Guid>{71689FB7-377B-4D28-AB64-7C5FC1217874}</b:Guid>
    <b:Author>
      <b:Author>
        <b:NameList>
          <b:Person>
            <b:Last>Fertilizers</b:Last>
            <b:First>Fauji</b:First>
          </b:Person>
        </b:NameList>
      </b:Author>
    </b:Author>
    <b:Title>FFC Annual Report 2025</b:Title>
    <b:Year>2025</b:Year>
    <b:URL>https://ffc.com.pk/wp-content/uploads/2026/03/FFC-AR-2025-2.pdf</b:URL>
    <b:RefOrder>5</b:RefOrder>
  </b:Source>
  <b:Source>
    <b:Tag>BF_26</b:Tag>
    <b:SourceType>ElectronicSource</b:SourceType>
    <b:Guid>{84798593-C700-4BA3-802D-C73F51A767BA}</b:Guid>
    <b:Title>Comaparative Analysis EFERT vs FFC excel</b:Title>
    <b:Year>2026</b:Year>
    <b:Month>5</b:Month>
    <b:Day>8</b:Day>
    <b:Author>
      <b:Author>
        <b:NameList>
          <b:Person>
            <b:Last>BF_Group</b:Last>
          </b:Person>
        </b:NameList>
      </b:Author>
    </b:Author>
    <b:RefOrder>1</b:RefOrder>
  </b:Source>
</b:Sources>
</file>

<file path=customXml/itemProps1.xml><?xml version="1.0" encoding="utf-8"?>
<ds:datastoreItem xmlns:ds="http://schemas.openxmlformats.org/officeDocument/2006/customXml" ds:itemID="{EDB3DC1C-3A56-48B6-9896-BAF1BBC13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2716</TotalTime>
  <Pages>20</Pages>
  <Words>3445</Words>
  <Characters>19638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Shahzaib</cp:lastModifiedBy>
  <cp:revision>46</cp:revision>
  <dcterms:created xsi:type="dcterms:W3CDTF">2026-05-11T06:18:00Z</dcterms:created>
  <dcterms:modified xsi:type="dcterms:W3CDTF">2026-07-06T09:21:00Z</dcterms:modified>
</cp:coreProperties>
</file>