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95E7A" w14:textId="286F7DEE" w:rsidR="0050616F" w:rsidRPr="00E54093" w:rsidRDefault="0050616F" w:rsidP="0050616F">
      <w:pPr>
        <w:pStyle w:val="p1"/>
        <w:jc w:val="center"/>
        <w:rPr>
          <w:rFonts w:ascii="Times New Roman" w:hAnsi="Times New Roman" w:cs="Times New Roman"/>
          <w:b/>
          <w:bCs/>
          <w:sz w:val="28"/>
          <w:szCs w:val="28"/>
        </w:rPr>
      </w:pPr>
      <w:r w:rsidRPr="00E54093">
        <w:rPr>
          <w:rFonts w:ascii="Times New Roman" w:hAnsi="Times New Roman" w:cs="Times New Roman"/>
          <w:b/>
          <w:bCs/>
          <w:sz w:val="28"/>
          <w:szCs w:val="28"/>
        </w:rPr>
        <w:t>VISUAL ANALYTICS COURSEWORK</w:t>
      </w:r>
    </w:p>
    <w:p w14:paraId="5C7FB467" w14:textId="77777777" w:rsidR="0050616F" w:rsidRPr="00E54093" w:rsidRDefault="0050616F" w:rsidP="00E54093">
      <w:pPr>
        <w:pStyle w:val="p1"/>
        <w:rPr>
          <w:rFonts w:ascii="Times New Roman" w:hAnsi="Times New Roman" w:cs="Times New Roman"/>
          <w:b/>
          <w:bCs/>
          <w:sz w:val="28"/>
          <w:szCs w:val="28"/>
        </w:rPr>
      </w:pPr>
    </w:p>
    <w:p w14:paraId="1BE41A8B" w14:textId="77777777" w:rsidR="0050616F" w:rsidRPr="00E54093" w:rsidRDefault="0050616F" w:rsidP="0050616F">
      <w:pPr>
        <w:spacing w:after="0" w:line="240" w:lineRule="auto"/>
        <w:jc w:val="center"/>
        <w:rPr>
          <w:rFonts w:ascii="Times New Roman" w:eastAsia="Times New Roman" w:hAnsi="Times New Roman" w:cs="Times New Roman"/>
          <w:color w:val="000000"/>
          <w:kern w:val="0"/>
          <w:sz w:val="28"/>
          <w:szCs w:val="28"/>
          <w:lang w:eastAsia="en-GB"/>
          <w14:ligatures w14:val="none"/>
        </w:rPr>
      </w:pPr>
      <w:r w:rsidRPr="00E54093">
        <w:rPr>
          <w:rFonts w:ascii="Times New Roman" w:eastAsia="Times New Roman" w:hAnsi="Times New Roman" w:cs="Times New Roman"/>
          <w:b/>
          <w:bCs/>
          <w:color w:val="000000"/>
          <w:kern w:val="0"/>
          <w:sz w:val="28"/>
          <w:szCs w:val="28"/>
          <w:lang w:eastAsia="en-GB"/>
          <w14:ligatures w14:val="none"/>
        </w:rPr>
        <w:t>Exploring Socio-Economic Trends in England and Wales: A Visual</w:t>
      </w:r>
    </w:p>
    <w:p w14:paraId="18DB140D" w14:textId="65511E24" w:rsidR="0050616F" w:rsidRPr="00E54093" w:rsidRDefault="0050616F" w:rsidP="0050616F">
      <w:pPr>
        <w:pStyle w:val="p1"/>
        <w:jc w:val="center"/>
        <w:rPr>
          <w:rFonts w:ascii="Times New Roman" w:hAnsi="Times New Roman" w:cs="Times New Roman"/>
          <w:b/>
          <w:bCs/>
          <w:sz w:val="28"/>
          <w:szCs w:val="28"/>
        </w:rPr>
      </w:pPr>
      <w:r w:rsidRPr="00E54093">
        <w:rPr>
          <w:rFonts w:ascii="Times New Roman" w:hAnsi="Times New Roman" w:cs="Times New Roman"/>
          <w:b/>
          <w:bCs/>
          <w:sz w:val="28"/>
          <w:szCs w:val="28"/>
        </w:rPr>
        <w:t>Analytics Approach</w:t>
      </w:r>
      <w:r w:rsidR="00E54093">
        <w:rPr>
          <w:rFonts w:ascii="Times New Roman" w:hAnsi="Times New Roman" w:cs="Times New Roman"/>
          <w:b/>
          <w:bCs/>
          <w:sz w:val="28"/>
          <w:szCs w:val="28"/>
        </w:rPr>
        <w:t xml:space="preserve"> </w:t>
      </w:r>
      <w:r w:rsidRPr="00E54093">
        <w:rPr>
          <w:rFonts w:ascii="Times New Roman" w:hAnsi="Times New Roman" w:cs="Times New Roman"/>
          <w:b/>
          <w:bCs/>
          <w:sz w:val="28"/>
          <w:szCs w:val="28"/>
        </w:rPr>
        <w:t>(MSC DATA SCIENCE – Spring 2026)</w:t>
      </w:r>
    </w:p>
    <w:p w14:paraId="5FCDA876" w14:textId="77777777" w:rsidR="0050616F" w:rsidRPr="00E54093" w:rsidRDefault="0050616F" w:rsidP="0050616F">
      <w:pPr>
        <w:pStyle w:val="p1"/>
        <w:jc w:val="center"/>
        <w:rPr>
          <w:rFonts w:ascii="Times New Roman" w:hAnsi="Times New Roman" w:cs="Times New Roman"/>
          <w:b/>
          <w:bCs/>
          <w:sz w:val="28"/>
          <w:szCs w:val="28"/>
        </w:rPr>
      </w:pPr>
    </w:p>
    <w:p w14:paraId="5E890A0C" w14:textId="6DC4FDB1" w:rsidR="0050616F" w:rsidRPr="00E54093" w:rsidRDefault="0050616F" w:rsidP="0050616F">
      <w:pPr>
        <w:spacing w:after="0" w:line="240" w:lineRule="auto"/>
        <w:jc w:val="center"/>
        <w:rPr>
          <w:rFonts w:ascii="Times New Roman" w:eastAsia="Times New Roman" w:hAnsi="Times New Roman" w:cs="Times New Roman"/>
          <w:color w:val="000000"/>
          <w:kern w:val="0"/>
          <w:sz w:val="28"/>
          <w:szCs w:val="28"/>
          <w:lang w:eastAsia="en-GB"/>
          <w14:ligatures w14:val="none"/>
        </w:rPr>
      </w:pPr>
      <w:r w:rsidRPr="00E54093">
        <w:rPr>
          <w:rFonts w:ascii="Times New Roman" w:eastAsia="Times New Roman" w:hAnsi="Times New Roman" w:cs="Times New Roman"/>
          <w:b/>
          <w:bCs/>
          <w:color w:val="000000"/>
          <w:kern w:val="0"/>
          <w:sz w:val="28"/>
          <w:szCs w:val="28"/>
          <w:lang w:eastAsia="en-GB"/>
          <w14:ligatures w14:val="none"/>
        </w:rPr>
        <w:t>Shivani Muthukumaran - 2688016</w:t>
      </w:r>
    </w:p>
    <w:p w14:paraId="45C9B991" w14:textId="77777777" w:rsidR="0050616F" w:rsidRDefault="0050616F" w:rsidP="0050616F">
      <w:pPr>
        <w:pStyle w:val="p1"/>
        <w:jc w:val="center"/>
        <w:rPr>
          <w:b/>
          <w:bCs/>
        </w:rPr>
      </w:pPr>
    </w:p>
    <w:p w14:paraId="7FD7E383" w14:textId="77777777" w:rsidR="0050616F" w:rsidRDefault="0050616F" w:rsidP="00A95070">
      <w:pPr>
        <w:pStyle w:val="p1"/>
        <w:rPr>
          <w:b/>
          <w:bCs/>
        </w:rPr>
      </w:pPr>
    </w:p>
    <w:p w14:paraId="1410D220" w14:textId="300D2E14" w:rsidR="005979D5" w:rsidRPr="00E110C6" w:rsidRDefault="00E110C6" w:rsidP="0050616F">
      <w:pPr>
        <w:ind w:left="-142"/>
        <w:rPr>
          <w:rFonts w:ascii="Times New Roman" w:hAnsi="Times New Roman" w:cs="Times New Roman"/>
          <w:sz w:val="28"/>
          <w:szCs w:val="28"/>
        </w:rPr>
      </w:pPr>
      <w:r w:rsidRPr="00E110C6">
        <w:rPr>
          <w:rFonts w:ascii="Times New Roman" w:hAnsi="Times New Roman" w:cs="Times New Roman"/>
          <w:b/>
          <w:bCs/>
          <w:sz w:val="28"/>
          <w:szCs w:val="28"/>
        </w:rPr>
        <w:t>SOCIAL ISSUE:</w:t>
      </w:r>
      <w:r w:rsidRPr="00E110C6">
        <w:rPr>
          <w:rFonts w:ascii="Times New Roman" w:hAnsi="Times New Roman" w:cs="Times New Roman"/>
          <w:sz w:val="28"/>
          <w:szCs w:val="28"/>
        </w:rPr>
        <w:t xml:space="preserve"> Housing Tenure and Deprivation Patterns</w:t>
      </w:r>
    </w:p>
    <w:p w14:paraId="1217EE5C" w14:textId="77777777" w:rsidR="00E110C6" w:rsidRDefault="00E110C6" w:rsidP="0050616F">
      <w:pPr>
        <w:ind w:left="-142"/>
        <w:rPr>
          <w:rFonts w:ascii="Times New Roman" w:hAnsi="Times New Roman" w:cs="Times New Roman"/>
          <w:b/>
          <w:bCs/>
        </w:rPr>
      </w:pPr>
    </w:p>
    <w:p w14:paraId="68F5CE75" w14:textId="22EDB3A0" w:rsidR="00411527" w:rsidRPr="005979D5" w:rsidRDefault="0050616F" w:rsidP="0050616F">
      <w:pPr>
        <w:ind w:left="-142"/>
        <w:rPr>
          <w:rFonts w:ascii="Times New Roman" w:hAnsi="Times New Roman" w:cs="Times New Roman"/>
          <w:b/>
          <w:bCs/>
        </w:rPr>
      </w:pPr>
      <w:r w:rsidRPr="005979D5">
        <w:rPr>
          <w:rFonts w:ascii="Times New Roman" w:hAnsi="Times New Roman" w:cs="Times New Roman"/>
          <w:b/>
          <w:bCs/>
        </w:rPr>
        <w:t>ABSTRACT</w:t>
      </w:r>
    </w:p>
    <w:p w14:paraId="4EBE8F89" w14:textId="2387615E" w:rsidR="0050616F" w:rsidRDefault="0050616F" w:rsidP="00E110C6">
      <w:pPr>
        <w:ind w:left="-142"/>
        <w:jc w:val="both"/>
        <w:rPr>
          <w:rFonts w:ascii="Times New Roman" w:hAnsi="Times New Roman" w:cs="Times New Roman"/>
        </w:rPr>
      </w:pPr>
      <w:r w:rsidRPr="005979D5">
        <w:rPr>
          <w:rFonts w:ascii="Times New Roman" w:hAnsi="Times New Roman" w:cs="Times New Roman"/>
        </w:rPr>
        <w:t xml:space="preserve">Housing tenure and deprivation patterns across England and Wales have undergone significant </w:t>
      </w:r>
      <w:r w:rsidR="00DB6D1E">
        <w:rPr>
          <w:rFonts w:ascii="Times New Roman" w:hAnsi="Times New Roman" w:cs="Times New Roman"/>
        </w:rPr>
        <w:t>changes</w:t>
      </w:r>
      <w:r w:rsidRPr="005979D5">
        <w:rPr>
          <w:rFonts w:ascii="Times New Roman" w:hAnsi="Times New Roman" w:cs="Times New Roman"/>
        </w:rPr>
        <w:t xml:space="preserve"> between 2011 and 2021, shaped by the aftermath of the 2008 financial crisis, rising house prices and the social disruptions of the COVID-19 pandemic. This report presents a visual analytics investigation into these shifts, using census data from both 2011 and 2021 to explore how housing tenure composition, multi-dimension deprivation and economic activity have evolved across </w:t>
      </w:r>
      <w:r w:rsidR="00DB6D1E">
        <w:rPr>
          <w:rFonts w:ascii="Times New Roman" w:hAnsi="Times New Roman" w:cs="Times New Roman"/>
        </w:rPr>
        <w:t xml:space="preserve">316 </w:t>
      </w:r>
      <w:r w:rsidRPr="005979D5">
        <w:rPr>
          <w:rFonts w:ascii="Times New Roman" w:hAnsi="Times New Roman" w:cs="Times New Roman"/>
        </w:rPr>
        <w:t xml:space="preserve">Local </w:t>
      </w:r>
      <w:r w:rsidR="00DB6D1E">
        <w:rPr>
          <w:rFonts w:ascii="Times New Roman" w:hAnsi="Times New Roman" w:cs="Times New Roman"/>
        </w:rPr>
        <w:t xml:space="preserve">Authority </w:t>
      </w:r>
      <w:r w:rsidRPr="005979D5">
        <w:rPr>
          <w:rFonts w:ascii="Times New Roman" w:hAnsi="Times New Roman" w:cs="Times New Roman"/>
        </w:rPr>
        <w:t>Districts</w:t>
      </w:r>
      <w:r w:rsidR="006D6C08">
        <w:rPr>
          <w:rFonts w:ascii="Times New Roman" w:hAnsi="Times New Roman" w:cs="Times New Roman"/>
        </w:rPr>
        <w:t xml:space="preserve"> (LAD)</w:t>
      </w:r>
      <w:r w:rsidRPr="005979D5">
        <w:rPr>
          <w:rFonts w:ascii="Times New Roman" w:hAnsi="Times New Roman" w:cs="Times New Roman"/>
        </w:rPr>
        <w:t xml:space="preserve">. The core research question </w:t>
      </w:r>
      <w:r w:rsidR="006877D2">
        <w:rPr>
          <w:rFonts w:ascii="Times New Roman" w:hAnsi="Times New Roman" w:cs="Times New Roman"/>
        </w:rPr>
        <w:t>g</w:t>
      </w:r>
      <w:r w:rsidRPr="005979D5">
        <w:rPr>
          <w:rFonts w:ascii="Times New Roman" w:hAnsi="Times New Roman" w:cs="Times New Roman"/>
        </w:rPr>
        <w:t>uiding this analysis</w:t>
      </w:r>
      <w:r w:rsidR="00FF4A62" w:rsidRPr="005979D5">
        <w:rPr>
          <w:rFonts w:ascii="Times New Roman" w:hAnsi="Times New Roman" w:cs="Times New Roman"/>
        </w:rPr>
        <w:t xml:space="preserve"> is: </w:t>
      </w:r>
      <w:r w:rsidR="00FF4A62" w:rsidRPr="005979D5">
        <w:rPr>
          <w:rFonts w:ascii="Times New Roman" w:hAnsi="Times New Roman" w:cs="Times New Roman"/>
          <w:i/>
          <w:iCs/>
        </w:rPr>
        <w:t>“How have housing tenure and deprivation patterns across England and Wales changed between 2011 and 2021, and what is the relationship between housing conditions and</w:t>
      </w:r>
      <w:r w:rsidR="00DB6D1E">
        <w:rPr>
          <w:rFonts w:ascii="Times New Roman" w:hAnsi="Times New Roman" w:cs="Times New Roman"/>
          <w:i/>
          <w:iCs/>
        </w:rPr>
        <w:t xml:space="preserve"> socio-</w:t>
      </w:r>
      <w:r w:rsidR="00FF4A62" w:rsidRPr="005979D5">
        <w:rPr>
          <w:rFonts w:ascii="Times New Roman" w:hAnsi="Times New Roman" w:cs="Times New Roman"/>
          <w:i/>
          <w:iCs/>
        </w:rPr>
        <w:t>economic outcome</w:t>
      </w:r>
      <w:r w:rsidR="00DB6D1E">
        <w:rPr>
          <w:rFonts w:ascii="Times New Roman" w:hAnsi="Times New Roman" w:cs="Times New Roman"/>
          <w:i/>
          <w:iCs/>
        </w:rPr>
        <w:t>s</w:t>
      </w:r>
      <w:r w:rsidR="00FF4A62" w:rsidRPr="005979D5">
        <w:rPr>
          <w:rFonts w:ascii="Times New Roman" w:hAnsi="Times New Roman" w:cs="Times New Roman"/>
          <w:i/>
          <w:iCs/>
        </w:rPr>
        <w:t>?”</w:t>
      </w:r>
      <w:r w:rsidR="00DB6D1E">
        <w:rPr>
          <w:rFonts w:ascii="Times New Roman" w:hAnsi="Times New Roman" w:cs="Times New Roman"/>
          <w:i/>
          <w:iCs/>
        </w:rPr>
        <w:t xml:space="preserve">, </w:t>
      </w:r>
      <w:r w:rsidR="00DB6D1E" w:rsidRPr="00DB6D1E">
        <w:rPr>
          <w:rFonts w:ascii="Times New Roman" w:hAnsi="Times New Roman" w:cs="Times New Roman"/>
        </w:rPr>
        <w:t xml:space="preserve">and this has been addressed by four </w:t>
      </w:r>
      <w:r w:rsidR="006D6C08" w:rsidRPr="00DB6D1E">
        <w:rPr>
          <w:rFonts w:ascii="Times New Roman" w:hAnsi="Times New Roman" w:cs="Times New Roman"/>
        </w:rPr>
        <w:t>interactive</w:t>
      </w:r>
      <w:r w:rsidR="00DB6D1E" w:rsidRPr="00DB6D1E">
        <w:rPr>
          <w:rFonts w:ascii="Times New Roman" w:hAnsi="Times New Roman" w:cs="Times New Roman"/>
        </w:rPr>
        <w:t xml:space="preserve"> tableau dashboards</w:t>
      </w:r>
      <w:r w:rsidR="006D6C08">
        <w:rPr>
          <w:rFonts w:ascii="Times New Roman" w:hAnsi="Times New Roman" w:cs="Times New Roman"/>
        </w:rPr>
        <w:t>. Principal Component Analysis (PCA) and t-distributed Stochastic Neighbour Embedding (t-SNE) were applied to reveal structural clusters and outliers across LADs. Bayesian Linear Regression was used to project private renting trends toward 2030 with 95% credible intervals. Findings reveal a consistent rise in private renting in post-industrial English cities and South Welsh valleys.</w:t>
      </w:r>
    </w:p>
    <w:p w14:paraId="77253B09" w14:textId="77777777" w:rsidR="002C319B" w:rsidRPr="00D3370C" w:rsidRDefault="002C319B" w:rsidP="00D3370C">
      <w:pPr>
        <w:rPr>
          <w:rFonts w:ascii="Times New Roman" w:hAnsi="Times New Roman" w:cs="Times New Roman"/>
          <w:b/>
          <w:bCs/>
        </w:rPr>
      </w:pPr>
    </w:p>
    <w:p w14:paraId="43D12384" w14:textId="77777777" w:rsidR="004D7989" w:rsidRDefault="00453A1B" w:rsidP="004D7989">
      <w:pPr>
        <w:pStyle w:val="ListParagraph"/>
        <w:numPr>
          <w:ilvl w:val="0"/>
          <w:numId w:val="6"/>
        </w:numPr>
        <w:ind w:left="142" w:hanging="142"/>
        <w:rPr>
          <w:rFonts w:ascii="Times New Roman" w:hAnsi="Times New Roman" w:cs="Times New Roman"/>
          <w:b/>
          <w:bCs/>
        </w:rPr>
      </w:pPr>
      <w:r w:rsidRPr="00E90C05">
        <w:rPr>
          <w:rFonts w:ascii="Times New Roman" w:hAnsi="Times New Roman" w:cs="Times New Roman"/>
          <w:b/>
          <w:bCs/>
        </w:rPr>
        <w:t>INTRODUCTION</w:t>
      </w:r>
    </w:p>
    <w:p w14:paraId="0079F853" w14:textId="4A0D751F" w:rsidR="006D6C08" w:rsidRDefault="004D3E76" w:rsidP="00D3370C">
      <w:pPr>
        <w:jc w:val="both"/>
        <w:rPr>
          <w:rFonts w:ascii="Times New Roman" w:hAnsi="Times New Roman" w:cs="Times New Roman"/>
        </w:rPr>
      </w:pPr>
      <w:r w:rsidRPr="004D3E76">
        <w:rPr>
          <w:rFonts w:ascii="Times New Roman" w:hAnsi="Times New Roman" w:cs="Times New Roman"/>
        </w:rPr>
        <w:t xml:space="preserve">Housing </w:t>
      </w:r>
      <w:r>
        <w:rPr>
          <w:rFonts w:ascii="Times New Roman" w:hAnsi="Times New Roman" w:cs="Times New Roman"/>
        </w:rPr>
        <w:t>is one of the most important parts of everyday life and plays a major role in overall wellbeing. Having access to stable and affordable housing can influence many aspects of life like health, job opportunities, education and general quality of living. In England and Wales, the housing system has changed considerably over the last two decades due to economic pressures, policy changes and shifts in population patterns.</w:t>
      </w:r>
    </w:p>
    <w:p w14:paraId="06D34460" w14:textId="58F90AFD" w:rsidR="00132D1E" w:rsidRDefault="00132D1E" w:rsidP="00D3370C">
      <w:pPr>
        <w:jc w:val="both"/>
        <w:rPr>
          <w:rFonts w:ascii="Times New Roman" w:hAnsi="Times New Roman" w:cs="Times New Roman"/>
        </w:rPr>
      </w:pPr>
      <w:r>
        <w:rPr>
          <w:rFonts w:ascii="Times New Roman" w:hAnsi="Times New Roman" w:cs="Times New Roman"/>
        </w:rPr>
        <w:t>A major turning point for the UK housing market was the 2008 global financial crisis. After the crisis, stricter mortgage lending rules made it much harder for many people to buy homes. As a result many were pushed towards renting which eventually contributed to shift away from homeownership and toward private rented accommodation</w:t>
      </w:r>
      <w:r w:rsidR="0091688D">
        <w:rPr>
          <w:rFonts w:ascii="Times New Roman" w:hAnsi="Times New Roman" w:cs="Times New Roman"/>
        </w:rPr>
        <w:t xml:space="preserve"> (Ronald &amp; Kalki,</w:t>
      </w:r>
      <w:r w:rsidR="005726D1">
        <w:rPr>
          <w:rFonts w:ascii="Times New Roman" w:hAnsi="Times New Roman" w:cs="Times New Roman"/>
        </w:rPr>
        <w:t xml:space="preserve"> </w:t>
      </w:r>
      <w:r w:rsidR="0091688D">
        <w:rPr>
          <w:rFonts w:ascii="Times New Roman" w:hAnsi="Times New Roman" w:cs="Times New Roman"/>
        </w:rPr>
        <w:t>2018).</w:t>
      </w:r>
    </w:p>
    <w:p w14:paraId="376DFB1D" w14:textId="617F3FAF" w:rsidR="00132D1E" w:rsidRDefault="00132D1E" w:rsidP="00E110C6">
      <w:pPr>
        <w:jc w:val="both"/>
        <w:rPr>
          <w:rFonts w:ascii="Times New Roman" w:hAnsi="Times New Roman" w:cs="Times New Roman"/>
        </w:rPr>
      </w:pPr>
      <w:r>
        <w:rPr>
          <w:rFonts w:ascii="Times New Roman" w:hAnsi="Times New Roman" w:cs="Times New Roman"/>
        </w:rPr>
        <w:t xml:space="preserve">Housing challenges are often closely linked to wider forms of social and economic disadvantage. The Office of National Statistics (ONS) measures deprivation across four key areas: employment, education, health and disability, and household overcrowding. This gives a broader understanding of the difficulties faced by different local authorities. Areas </w:t>
      </w:r>
      <w:r>
        <w:rPr>
          <w:rFonts w:ascii="Times New Roman" w:hAnsi="Times New Roman" w:cs="Times New Roman"/>
        </w:rPr>
        <w:lastRenderedPageBreak/>
        <w:t xml:space="preserve">experiencing deprivation across several of these dimensions often remain trapped in long-term disadvantage even during periods of economic growth because these patterns tend to cluster geographically. </w:t>
      </w:r>
    </w:p>
    <w:p w14:paraId="4532CAAE" w14:textId="77777777" w:rsidR="00E110C6" w:rsidRDefault="00E110C6" w:rsidP="00E110C6">
      <w:pPr>
        <w:jc w:val="both"/>
        <w:rPr>
          <w:rFonts w:ascii="Times New Roman" w:hAnsi="Times New Roman" w:cs="Times New Roman"/>
        </w:rPr>
      </w:pPr>
    </w:p>
    <w:p w14:paraId="47FF076E" w14:textId="77777777" w:rsidR="00E110C6" w:rsidRPr="004D3E76" w:rsidRDefault="00E110C6" w:rsidP="00E110C6">
      <w:pPr>
        <w:jc w:val="both"/>
        <w:rPr>
          <w:rFonts w:ascii="Times New Roman" w:hAnsi="Times New Roman" w:cs="Times New Roman"/>
        </w:rPr>
      </w:pPr>
    </w:p>
    <w:p w14:paraId="2A6F4099" w14:textId="77777777" w:rsidR="004D7989" w:rsidRDefault="00E90C05" w:rsidP="004D7989">
      <w:pPr>
        <w:pStyle w:val="ListParagraph"/>
        <w:numPr>
          <w:ilvl w:val="0"/>
          <w:numId w:val="6"/>
        </w:numPr>
        <w:ind w:left="142" w:hanging="142"/>
        <w:rPr>
          <w:rFonts w:ascii="Times New Roman" w:hAnsi="Times New Roman" w:cs="Times New Roman"/>
          <w:b/>
          <w:bCs/>
        </w:rPr>
      </w:pPr>
      <w:r w:rsidRPr="004D7989">
        <w:rPr>
          <w:rFonts w:ascii="Times New Roman" w:hAnsi="Times New Roman" w:cs="Times New Roman"/>
          <w:b/>
          <w:bCs/>
        </w:rPr>
        <w:t>DATA PREPARATION AND ABSTRACTION</w:t>
      </w:r>
    </w:p>
    <w:p w14:paraId="7AC2CDCB" w14:textId="77777777" w:rsidR="00132D1E" w:rsidRDefault="00132D1E" w:rsidP="00132D1E">
      <w:pPr>
        <w:pStyle w:val="ListParagraph"/>
        <w:ind w:left="142"/>
        <w:rPr>
          <w:rFonts w:ascii="Times New Roman" w:hAnsi="Times New Roman" w:cs="Times New Roman"/>
          <w:b/>
          <w:bCs/>
        </w:rPr>
      </w:pPr>
    </w:p>
    <w:p w14:paraId="0AC92F2C" w14:textId="13C54112" w:rsidR="00132D1E" w:rsidRDefault="00132D1E" w:rsidP="00132D1E">
      <w:pPr>
        <w:pStyle w:val="ListParagraph"/>
        <w:ind w:left="142"/>
        <w:rPr>
          <w:rFonts w:ascii="Times New Roman" w:hAnsi="Times New Roman" w:cs="Times New Roman"/>
          <w:b/>
          <w:bCs/>
        </w:rPr>
      </w:pPr>
      <w:r>
        <w:rPr>
          <w:rFonts w:ascii="Times New Roman" w:hAnsi="Times New Roman" w:cs="Times New Roman"/>
          <w:b/>
          <w:bCs/>
        </w:rPr>
        <w:t>Data Sources</w:t>
      </w:r>
    </w:p>
    <w:p w14:paraId="5E13E8B8" w14:textId="77777777" w:rsidR="00132D1E" w:rsidRPr="00132D1E" w:rsidRDefault="00132D1E" w:rsidP="00132D1E">
      <w:pPr>
        <w:pStyle w:val="ListParagraph"/>
        <w:ind w:left="142"/>
        <w:rPr>
          <w:rFonts w:ascii="Times New Roman" w:hAnsi="Times New Roman" w:cs="Times New Roman"/>
        </w:rPr>
      </w:pPr>
    </w:p>
    <w:tbl>
      <w:tblPr>
        <w:tblStyle w:val="TableGrid"/>
        <w:tblW w:w="9351" w:type="dxa"/>
        <w:tblInd w:w="142" w:type="dxa"/>
        <w:tblLook w:val="04A0" w:firstRow="1" w:lastRow="0" w:firstColumn="1" w:lastColumn="0" w:noHBand="0" w:noVBand="1"/>
      </w:tblPr>
      <w:tblGrid>
        <w:gridCol w:w="2962"/>
        <w:gridCol w:w="1569"/>
        <w:gridCol w:w="4820"/>
      </w:tblGrid>
      <w:tr w:rsidR="00A9513E" w14:paraId="30EF99F0" w14:textId="77777777" w:rsidTr="00A9513E">
        <w:tc>
          <w:tcPr>
            <w:tcW w:w="2962" w:type="dxa"/>
          </w:tcPr>
          <w:p w14:paraId="4502ABB6" w14:textId="11740D27" w:rsidR="00A9513E" w:rsidRDefault="00A9513E" w:rsidP="00A9513E">
            <w:pPr>
              <w:pStyle w:val="ListParagraph"/>
              <w:ind w:left="0"/>
              <w:jc w:val="center"/>
              <w:rPr>
                <w:rFonts w:ascii="Times New Roman" w:hAnsi="Times New Roman" w:cs="Times New Roman"/>
                <w:b/>
                <w:bCs/>
              </w:rPr>
            </w:pPr>
            <w:r>
              <w:rPr>
                <w:rFonts w:ascii="Times New Roman" w:hAnsi="Times New Roman" w:cs="Times New Roman"/>
                <w:b/>
                <w:bCs/>
              </w:rPr>
              <w:t>Table</w:t>
            </w:r>
          </w:p>
        </w:tc>
        <w:tc>
          <w:tcPr>
            <w:tcW w:w="1569" w:type="dxa"/>
          </w:tcPr>
          <w:p w14:paraId="128236F1" w14:textId="165BA019" w:rsidR="00A9513E" w:rsidRDefault="00A9513E" w:rsidP="00A9513E">
            <w:pPr>
              <w:pStyle w:val="ListParagraph"/>
              <w:ind w:left="0"/>
              <w:jc w:val="center"/>
              <w:rPr>
                <w:rFonts w:ascii="Times New Roman" w:hAnsi="Times New Roman" w:cs="Times New Roman"/>
                <w:b/>
                <w:bCs/>
              </w:rPr>
            </w:pPr>
            <w:r>
              <w:rPr>
                <w:rFonts w:ascii="Times New Roman" w:hAnsi="Times New Roman" w:cs="Times New Roman"/>
                <w:b/>
                <w:bCs/>
              </w:rPr>
              <w:t>Year</w:t>
            </w:r>
          </w:p>
        </w:tc>
        <w:tc>
          <w:tcPr>
            <w:tcW w:w="4820" w:type="dxa"/>
          </w:tcPr>
          <w:p w14:paraId="28827C84" w14:textId="59346BE0" w:rsidR="00A9513E" w:rsidRDefault="00A9513E" w:rsidP="00A9513E">
            <w:pPr>
              <w:pStyle w:val="ListParagraph"/>
              <w:ind w:left="0"/>
              <w:jc w:val="center"/>
              <w:rPr>
                <w:rFonts w:ascii="Times New Roman" w:hAnsi="Times New Roman" w:cs="Times New Roman"/>
                <w:b/>
                <w:bCs/>
              </w:rPr>
            </w:pPr>
            <w:r>
              <w:rPr>
                <w:rFonts w:ascii="Times New Roman" w:hAnsi="Times New Roman" w:cs="Times New Roman"/>
                <w:b/>
                <w:bCs/>
              </w:rPr>
              <w:t>Content</w:t>
            </w:r>
          </w:p>
        </w:tc>
      </w:tr>
      <w:tr w:rsidR="00A9513E" w:rsidRPr="00A9513E" w14:paraId="4D4EEDA5" w14:textId="77777777" w:rsidTr="00A9513E">
        <w:tc>
          <w:tcPr>
            <w:tcW w:w="2962" w:type="dxa"/>
          </w:tcPr>
          <w:p w14:paraId="72F158B0" w14:textId="31A1049C"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QS405EW</w:t>
            </w:r>
          </w:p>
        </w:tc>
        <w:tc>
          <w:tcPr>
            <w:tcW w:w="1569" w:type="dxa"/>
          </w:tcPr>
          <w:p w14:paraId="2FE4433C" w14:textId="6AD1336B"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2011</w:t>
            </w:r>
          </w:p>
        </w:tc>
        <w:tc>
          <w:tcPr>
            <w:tcW w:w="4820" w:type="dxa"/>
          </w:tcPr>
          <w:p w14:paraId="62F432D4" w14:textId="6521E543"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Tenure of Households</w:t>
            </w:r>
          </w:p>
        </w:tc>
      </w:tr>
      <w:tr w:rsidR="00A9513E" w:rsidRPr="00A9513E" w14:paraId="37D378AB" w14:textId="77777777" w:rsidTr="00A9513E">
        <w:tc>
          <w:tcPr>
            <w:tcW w:w="2962" w:type="dxa"/>
          </w:tcPr>
          <w:p w14:paraId="67FFABBB" w14:textId="7078F4AF"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QS412EW</w:t>
            </w:r>
          </w:p>
        </w:tc>
        <w:tc>
          <w:tcPr>
            <w:tcW w:w="1569" w:type="dxa"/>
          </w:tcPr>
          <w:p w14:paraId="566C0823" w14:textId="6025328F"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2011</w:t>
            </w:r>
          </w:p>
        </w:tc>
        <w:tc>
          <w:tcPr>
            <w:tcW w:w="4820" w:type="dxa"/>
          </w:tcPr>
          <w:p w14:paraId="09811370" w14:textId="59D299D7"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 xml:space="preserve">Occupancy </w:t>
            </w:r>
            <w:r>
              <w:rPr>
                <w:rFonts w:ascii="Times New Roman" w:hAnsi="Times New Roman" w:cs="Times New Roman"/>
              </w:rPr>
              <w:t>R</w:t>
            </w:r>
            <w:r w:rsidRPr="00A9513E">
              <w:rPr>
                <w:rFonts w:ascii="Times New Roman" w:hAnsi="Times New Roman" w:cs="Times New Roman"/>
              </w:rPr>
              <w:t xml:space="preserve">ating by </w:t>
            </w:r>
            <w:r>
              <w:rPr>
                <w:rFonts w:ascii="Times New Roman" w:hAnsi="Times New Roman" w:cs="Times New Roman"/>
              </w:rPr>
              <w:t>B</w:t>
            </w:r>
            <w:r w:rsidRPr="00A9513E">
              <w:rPr>
                <w:rFonts w:ascii="Times New Roman" w:hAnsi="Times New Roman" w:cs="Times New Roman"/>
              </w:rPr>
              <w:t>edrooms</w:t>
            </w:r>
          </w:p>
        </w:tc>
      </w:tr>
      <w:tr w:rsidR="00A9513E" w:rsidRPr="00A9513E" w14:paraId="195F9CE4" w14:textId="77777777" w:rsidTr="00A9513E">
        <w:tc>
          <w:tcPr>
            <w:tcW w:w="2962" w:type="dxa"/>
          </w:tcPr>
          <w:p w14:paraId="46C90ED0" w14:textId="29BED344"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QS119EW</w:t>
            </w:r>
          </w:p>
        </w:tc>
        <w:tc>
          <w:tcPr>
            <w:tcW w:w="1569" w:type="dxa"/>
          </w:tcPr>
          <w:p w14:paraId="2A4A2179" w14:textId="672CAC5D"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2011</w:t>
            </w:r>
          </w:p>
        </w:tc>
        <w:tc>
          <w:tcPr>
            <w:tcW w:w="4820" w:type="dxa"/>
          </w:tcPr>
          <w:p w14:paraId="78F2E59C" w14:textId="4CC92687"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Household Deprivation Dimensions</w:t>
            </w:r>
          </w:p>
        </w:tc>
      </w:tr>
      <w:tr w:rsidR="00A9513E" w:rsidRPr="00A9513E" w14:paraId="456731D1" w14:textId="77777777" w:rsidTr="00A9513E">
        <w:tc>
          <w:tcPr>
            <w:tcW w:w="2962" w:type="dxa"/>
          </w:tcPr>
          <w:p w14:paraId="04129D0A" w14:textId="11D7EEED"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KS601EW</w:t>
            </w:r>
          </w:p>
        </w:tc>
        <w:tc>
          <w:tcPr>
            <w:tcW w:w="1569" w:type="dxa"/>
          </w:tcPr>
          <w:p w14:paraId="591F43AD" w14:textId="37DD51EA"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2011</w:t>
            </w:r>
          </w:p>
        </w:tc>
        <w:tc>
          <w:tcPr>
            <w:tcW w:w="4820" w:type="dxa"/>
          </w:tcPr>
          <w:p w14:paraId="1F7422C9" w14:textId="573F573A"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 xml:space="preserve">Economic </w:t>
            </w:r>
            <w:r>
              <w:rPr>
                <w:rFonts w:ascii="Times New Roman" w:hAnsi="Times New Roman" w:cs="Times New Roman"/>
              </w:rPr>
              <w:t>A</w:t>
            </w:r>
            <w:r w:rsidRPr="00A9513E">
              <w:rPr>
                <w:rFonts w:ascii="Times New Roman" w:hAnsi="Times New Roman" w:cs="Times New Roman"/>
              </w:rPr>
              <w:t>ctivity</w:t>
            </w:r>
          </w:p>
        </w:tc>
      </w:tr>
      <w:tr w:rsidR="00A9513E" w:rsidRPr="00A9513E" w14:paraId="5A727694" w14:textId="77777777" w:rsidTr="00A9513E">
        <w:tc>
          <w:tcPr>
            <w:tcW w:w="2962" w:type="dxa"/>
          </w:tcPr>
          <w:p w14:paraId="22EEECA1" w14:textId="4B93DFBF"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TS054</w:t>
            </w:r>
          </w:p>
        </w:tc>
        <w:tc>
          <w:tcPr>
            <w:tcW w:w="1569" w:type="dxa"/>
          </w:tcPr>
          <w:p w14:paraId="42F89DD3" w14:textId="06077ED8"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2021</w:t>
            </w:r>
          </w:p>
        </w:tc>
        <w:tc>
          <w:tcPr>
            <w:tcW w:w="4820" w:type="dxa"/>
          </w:tcPr>
          <w:p w14:paraId="56CB907A" w14:textId="21D784EC"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Tenure of Households</w:t>
            </w:r>
          </w:p>
        </w:tc>
      </w:tr>
      <w:tr w:rsidR="00A9513E" w:rsidRPr="00A9513E" w14:paraId="3C63A3F1" w14:textId="77777777" w:rsidTr="00A9513E">
        <w:trPr>
          <w:trHeight w:val="237"/>
        </w:trPr>
        <w:tc>
          <w:tcPr>
            <w:tcW w:w="2962" w:type="dxa"/>
          </w:tcPr>
          <w:p w14:paraId="743BF8EF" w14:textId="0EBB4D7C"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TS011</w:t>
            </w:r>
          </w:p>
        </w:tc>
        <w:tc>
          <w:tcPr>
            <w:tcW w:w="1569" w:type="dxa"/>
          </w:tcPr>
          <w:p w14:paraId="3BC9DB9D" w14:textId="7315C4E4"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2021</w:t>
            </w:r>
          </w:p>
        </w:tc>
        <w:tc>
          <w:tcPr>
            <w:tcW w:w="4820" w:type="dxa"/>
          </w:tcPr>
          <w:p w14:paraId="49FAFA5D" w14:textId="2CCA1929" w:rsidR="00A9513E" w:rsidRPr="00A9513E" w:rsidRDefault="00A9513E" w:rsidP="00A9513E">
            <w:pPr>
              <w:pStyle w:val="ListParagraph"/>
              <w:ind w:left="0"/>
              <w:jc w:val="center"/>
              <w:rPr>
                <w:rFonts w:ascii="Times New Roman" w:hAnsi="Times New Roman" w:cs="Times New Roman"/>
              </w:rPr>
            </w:pPr>
            <w:r w:rsidRPr="00A9513E">
              <w:rPr>
                <w:rFonts w:ascii="Times New Roman" w:hAnsi="Times New Roman" w:cs="Times New Roman"/>
              </w:rPr>
              <w:t>Household Deprivation Dimensions</w:t>
            </w:r>
          </w:p>
        </w:tc>
      </w:tr>
    </w:tbl>
    <w:p w14:paraId="126A385C" w14:textId="77777777" w:rsidR="00132D1E" w:rsidRPr="00A9513E" w:rsidRDefault="00132D1E" w:rsidP="00132D1E">
      <w:pPr>
        <w:pStyle w:val="ListParagraph"/>
        <w:ind w:left="142"/>
        <w:rPr>
          <w:rFonts w:ascii="Times New Roman" w:hAnsi="Times New Roman" w:cs="Times New Roman"/>
        </w:rPr>
      </w:pPr>
    </w:p>
    <w:p w14:paraId="4D99D81B" w14:textId="049DE6A4" w:rsidR="00132D1E" w:rsidRDefault="00A9513E" w:rsidP="00D3370C">
      <w:pPr>
        <w:pStyle w:val="ListParagraph"/>
        <w:ind w:left="142"/>
        <w:jc w:val="both"/>
        <w:rPr>
          <w:rFonts w:ascii="Times New Roman" w:hAnsi="Times New Roman" w:cs="Times New Roman"/>
        </w:rPr>
      </w:pPr>
      <w:r w:rsidRPr="00A9513E">
        <w:rPr>
          <w:rFonts w:ascii="Times New Roman" w:hAnsi="Times New Roman" w:cs="Times New Roman"/>
        </w:rPr>
        <w:t>The 2011</w:t>
      </w:r>
      <w:r>
        <w:rPr>
          <w:rFonts w:ascii="Times New Roman" w:hAnsi="Times New Roman" w:cs="Times New Roman"/>
        </w:rPr>
        <w:t xml:space="preserve"> tables were retrieved from the provided excel file of “2011 Census Index Tables” containing multiple sheets each (Information, Numbers, Percentage, Ranks, Metadata). Only the Numbers sheet was used for all preprocessing as raw counts are necessary for correct aggregation during boundary reconciliation and percentage recomputation. The 2021 tables were obtained from the Nomis bulk download portal and the Lower Tier Local Authority (</w:t>
      </w:r>
      <w:r w:rsidR="00224E7F">
        <w:rPr>
          <w:rFonts w:ascii="Times New Roman" w:hAnsi="Times New Roman" w:cs="Times New Roman"/>
        </w:rPr>
        <w:t>ltla) tables were used from these.</w:t>
      </w:r>
    </w:p>
    <w:p w14:paraId="548F160B" w14:textId="77777777" w:rsidR="00224E7F" w:rsidRDefault="00224E7F" w:rsidP="00132D1E">
      <w:pPr>
        <w:pStyle w:val="ListParagraph"/>
        <w:ind w:left="142"/>
        <w:rPr>
          <w:rFonts w:ascii="Times New Roman" w:hAnsi="Times New Roman" w:cs="Times New Roman"/>
        </w:rPr>
      </w:pPr>
    </w:p>
    <w:p w14:paraId="08C74212" w14:textId="463ACF68" w:rsidR="00224E7F" w:rsidRDefault="00224E7F" w:rsidP="00132D1E">
      <w:pPr>
        <w:pStyle w:val="ListParagraph"/>
        <w:ind w:left="142"/>
        <w:rPr>
          <w:rFonts w:ascii="Times New Roman" w:hAnsi="Times New Roman" w:cs="Times New Roman"/>
          <w:b/>
          <w:bCs/>
        </w:rPr>
      </w:pPr>
      <w:r w:rsidRPr="00D3370C">
        <w:rPr>
          <w:rFonts w:ascii="Times New Roman" w:hAnsi="Times New Roman" w:cs="Times New Roman"/>
          <w:b/>
          <w:bCs/>
        </w:rPr>
        <w:t>Data Cleaning</w:t>
      </w:r>
    </w:p>
    <w:p w14:paraId="4C1D622D" w14:textId="77777777" w:rsidR="00D3370C" w:rsidRPr="00D3370C" w:rsidRDefault="00D3370C" w:rsidP="00132D1E">
      <w:pPr>
        <w:pStyle w:val="ListParagraph"/>
        <w:ind w:left="142"/>
        <w:rPr>
          <w:rFonts w:ascii="Times New Roman" w:hAnsi="Times New Roman" w:cs="Times New Roman"/>
          <w:b/>
          <w:bCs/>
        </w:rPr>
      </w:pPr>
    </w:p>
    <w:p w14:paraId="2A5D5D2E" w14:textId="77EFE781" w:rsidR="00224E7F" w:rsidRDefault="00224E7F" w:rsidP="00132D1E">
      <w:pPr>
        <w:pStyle w:val="ListParagraph"/>
        <w:ind w:left="142"/>
        <w:rPr>
          <w:rFonts w:ascii="Times New Roman" w:hAnsi="Times New Roman" w:cs="Times New Roman"/>
        </w:rPr>
      </w:pPr>
      <w:r>
        <w:rPr>
          <w:rFonts w:ascii="Times New Roman" w:hAnsi="Times New Roman" w:cs="Times New Roman"/>
        </w:rPr>
        <w:t>All data processing was carried out in Python using pandas. The key cleaning steps were:</w:t>
      </w:r>
    </w:p>
    <w:p w14:paraId="64B83952" w14:textId="77777777" w:rsidR="00224E7F" w:rsidRDefault="00224E7F" w:rsidP="00132D1E">
      <w:pPr>
        <w:pStyle w:val="ListParagraph"/>
        <w:ind w:left="142"/>
        <w:rPr>
          <w:rFonts w:ascii="Times New Roman" w:hAnsi="Times New Roman" w:cs="Times New Roman"/>
        </w:rPr>
      </w:pPr>
    </w:p>
    <w:p w14:paraId="4D82BB07" w14:textId="3E9FF006" w:rsidR="00224E7F" w:rsidRDefault="00224E7F" w:rsidP="00D3370C">
      <w:pPr>
        <w:pStyle w:val="ListParagraph"/>
        <w:ind w:left="142"/>
        <w:jc w:val="both"/>
        <w:rPr>
          <w:rFonts w:ascii="Times New Roman" w:hAnsi="Times New Roman" w:cs="Times New Roman"/>
        </w:rPr>
      </w:pPr>
      <w:r w:rsidRPr="00D3370C">
        <w:rPr>
          <w:rFonts w:ascii="Times New Roman" w:hAnsi="Times New Roman" w:cs="Times New Roman"/>
          <w:b/>
          <w:bCs/>
        </w:rPr>
        <w:t xml:space="preserve">File </w:t>
      </w:r>
      <w:r w:rsidR="000F130C" w:rsidRPr="00D3370C">
        <w:rPr>
          <w:rFonts w:ascii="Times New Roman" w:hAnsi="Times New Roman" w:cs="Times New Roman"/>
          <w:b/>
          <w:bCs/>
        </w:rPr>
        <w:t>L</w:t>
      </w:r>
      <w:r w:rsidRPr="00D3370C">
        <w:rPr>
          <w:rFonts w:ascii="Times New Roman" w:hAnsi="Times New Roman" w:cs="Times New Roman"/>
          <w:b/>
          <w:bCs/>
        </w:rPr>
        <w:t>oading:</w:t>
      </w:r>
      <w:r>
        <w:rPr>
          <w:rFonts w:ascii="Times New Roman" w:hAnsi="Times New Roman" w:cs="Times New Roman"/>
        </w:rPr>
        <w:t xml:space="preserve"> A custom function called load_and_inspect() was created to handle both excel and csv files. The next step was to automatically identify the correct sheet named “Numbers” and detect actual header row by scanning for geography-related keywords, because Nomis files often include multiple metadata rows before the real data begins.</w:t>
      </w:r>
    </w:p>
    <w:p w14:paraId="45362B9F" w14:textId="77777777" w:rsidR="00902F99" w:rsidRDefault="00902F99" w:rsidP="00D3370C">
      <w:pPr>
        <w:pStyle w:val="ListParagraph"/>
        <w:ind w:left="142"/>
        <w:jc w:val="both"/>
        <w:rPr>
          <w:rFonts w:ascii="Times New Roman" w:hAnsi="Times New Roman" w:cs="Times New Roman"/>
        </w:rPr>
      </w:pPr>
    </w:p>
    <w:p w14:paraId="563A2149" w14:textId="183B4F67" w:rsidR="00902F99" w:rsidRDefault="00902F99" w:rsidP="00D3370C">
      <w:pPr>
        <w:pStyle w:val="ListParagraph"/>
        <w:ind w:left="142"/>
        <w:jc w:val="both"/>
        <w:rPr>
          <w:rFonts w:ascii="Times New Roman" w:hAnsi="Times New Roman" w:cs="Times New Roman"/>
        </w:rPr>
      </w:pPr>
      <w:r w:rsidRPr="00D3370C">
        <w:rPr>
          <w:rFonts w:ascii="Times New Roman" w:hAnsi="Times New Roman" w:cs="Times New Roman"/>
          <w:b/>
          <w:bCs/>
        </w:rPr>
        <w:t>Column Standardisation:</w:t>
      </w:r>
      <w:r>
        <w:rPr>
          <w:rFonts w:ascii="Times New Roman" w:hAnsi="Times New Roman" w:cs="Times New Roman"/>
        </w:rPr>
        <w:t xml:space="preserve"> </w:t>
      </w:r>
      <w:r w:rsidR="000F130C">
        <w:rPr>
          <w:rFonts w:ascii="Times New Roman" w:hAnsi="Times New Roman" w:cs="Times New Roman"/>
        </w:rPr>
        <w:t>Column names for geography codes and area names were not consistent across the datasets. To fix this, two steps were followed:</w:t>
      </w:r>
    </w:p>
    <w:p w14:paraId="64ECA61E" w14:textId="2679FAFF" w:rsidR="000F130C" w:rsidRDefault="000F130C" w:rsidP="00D3370C">
      <w:pPr>
        <w:pStyle w:val="ListParagraph"/>
        <w:numPr>
          <w:ilvl w:val="0"/>
          <w:numId w:val="7"/>
        </w:numPr>
        <w:jc w:val="both"/>
        <w:rPr>
          <w:rFonts w:ascii="Times New Roman" w:hAnsi="Times New Roman" w:cs="Times New Roman"/>
        </w:rPr>
      </w:pPr>
      <w:r>
        <w:rPr>
          <w:rFonts w:ascii="Times New Roman" w:hAnsi="Times New Roman" w:cs="Times New Roman"/>
        </w:rPr>
        <w:t>Exact matching with known Nomis column names</w:t>
      </w:r>
    </w:p>
    <w:p w14:paraId="321DD989" w14:textId="77777777" w:rsidR="000F130C" w:rsidRDefault="000F130C" w:rsidP="00D3370C">
      <w:pPr>
        <w:pStyle w:val="ListParagraph"/>
        <w:numPr>
          <w:ilvl w:val="0"/>
          <w:numId w:val="7"/>
        </w:numPr>
        <w:spacing w:after="0"/>
        <w:jc w:val="both"/>
        <w:rPr>
          <w:rFonts w:ascii="Times New Roman" w:hAnsi="Times New Roman" w:cs="Times New Roman"/>
        </w:rPr>
      </w:pPr>
      <w:r>
        <w:rPr>
          <w:rFonts w:ascii="Times New Roman" w:hAnsi="Times New Roman" w:cs="Times New Roman"/>
        </w:rPr>
        <w:t>Pattern matching using regular expressions to identify valid LAD level ONS codes</w:t>
      </w:r>
    </w:p>
    <w:p w14:paraId="2FDDE036" w14:textId="60092481" w:rsidR="000F130C" w:rsidRDefault="000F130C" w:rsidP="00D3370C">
      <w:pPr>
        <w:ind w:left="142"/>
        <w:jc w:val="both"/>
        <w:rPr>
          <w:rFonts w:ascii="Times New Roman" w:hAnsi="Times New Roman" w:cs="Times New Roman"/>
        </w:rPr>
      </w:pPr>
      <w:r w:rsidRPr="000F130C">
        <w:rPr>
          <w:rFonts w:ascii="Times New Roman" w:hAnsi="Times New Roman" w:cs="Times New Roman"/>
        </w:rPr>
        <w:t>After this</w:t>
      </w:r>
      <w:r>
        <w:rPr>
          <w:rFonts w:ascii="Times New Roman" w:hAnsi="Times New Roman" w:cs="Times New Roman"/>
        </w:rPr>
        <w:t>, all datasets were filtered to include only LAD rows, removing national and regional totals.</w:t>
      </w:r>
    </w:p>
    <w:p w14:paraId="5BE762FD" w14:textId="79FA9249" w:rsidR="000F130C" w:rsidRDefault="000F130C" w:rsidP="00D3370C">
      <w:pPr>
        <w:ind w:left="142"/>
        <w:jc w:val="both"/>
        <w:rPr>
          <w:rStyle w:val="HTMLCode"/>
          <w:rFonts w:ascii="Times New Roman" w:eastAsiaTheme="minorHAnsi" w:hAnsi="Times New Roman" w:cs="Times New Roman"/>
          <w:color w:val="000000"/>
          <w:sz w:val="24"/>
          <w:szCs w:val="24"/>
        </w:rPr>
      </w:pPr>
      <w:r w:rsidRPr="00D3370C">
        <w:rPr>
          <w:rFonts w:ascii="Times New Roman" w:hAnsi="Times New Roman" w:cs="Times New Roman"/>
          <w:b/>
          <w:bCs/>
        </w:rPr>
        <w:t>Percentage Computation:</w:t>
      </w:r>
      <w:r>
        <w:rPr>
          <w:rFonts w:ascii="Times New Roman" w:hAnsi="Times New Roman" w:cs="Times New Roman"/>
        </w:rPr>
        <w:t xml:space="preserve"> All percentages were calculated directly from raw counts rather than using Nomis sheets to ensure accuracy after combining areas and making boundary </w:t>
      </w:r>
      <w:r>
        <w:rPr>
          <w:rFonts w:ascii="Times New Roman" w:hAnsi="Times New Roman" w:cs="Times New Roman"/>
        </w:rPr>
        <w:lastRenderedPageBreak/>
        <w:t>changes. Additional combined variables like</w:t>
      </w:r>
      <w:r w:rsidRPr="000F130C">
        <w:rPr>
          <w:rStyle w:val="HTMLCode"/>
          <w:rFonts w:ascii="Times New Roman" w:eastAsiaTheme="minorHAnsi" w:hAnsi="Times New Roman" w:cs="Times New Roman"/>
          <w:color w:val="000000"/>
          <w:sz w:val="24"/>
          <w:szCs w:val="24"/>
        </w:rPr>
        <w:t xml:space="preserve"> </w:t>
      </w:r>
      <w:r>
        <w:rPr>
          <w:rStyle w:val="HTMLCode"/>
          <w:rFonts w:ascii="Times New Roman" w:eastAsiaTheme="minorHAnsi" w:hAnsi="Times New Roman" w:cs="Times New Roman"/>
          <w:color w:val="000000"/>
          <w:sz w:val="24"/>
          <w:szCs w:val="24"/>
        </w:rPr>
        <w:t>social_rented_total, private_rented_total, multi_deprived, any_deprived and employed_total were created for easier analysis.</w:t>
      </w:r>
    </w:p>
    <w:p w14:paraId="32A81574" w14:textId="25F80301" w:rsidR="000F130C" w:rsidRDefault="000F130C" w:rsidP="00D3370C">
      <w:pPr>
        <w:ind w:left="142"/>
        <w:jc w:val="both"/>
        <w:rPr>
          <w:rStyle w:val="HTMLCode"/>
          <w:rFonts w:ascii="Times New Roman" w:eastAsiaTheme="minorHAnsi" w:hAnsi="Times New Roman" w:cs="Times New Roman"/>
          <w:color w:val="000000"/>
          <w:sz w:val="24"/>
          <w:szCs w:val="24"/>
        </w:rPr>
      </w:pPr>
      <w:r w:rsidRPr="00E110C6">
        <w:rPr>
          <w:rStyle w:val="HTMLCode"/>
          <w:rFonts w:ascii="Times New Roman" w:eastAsiaTheme="minorHAnsi" w:hAnsi="Times New Roman" w:cs="Times New Roman"/>
          <w:b/>
          <w:bCs/>
          <w:color w:val="000000"/>
          <w:sz w:val="24"/>
          <w:szCs w:val="24"/>
        </w:rPr>
        <w:t>Duplicate Column Handling:</w:t>
      </w:r>
      <w:r>
        <w:rPr>
          <w:rStyle w:val="HTMLCode"/>
          <w:rFonts w:ascii="Times New Roman" w:eastAsiaTheme="minorHAnsi" w:hAnsi="Times New Roman" w:cs="Times New Roman"/>
          <w:color w:val="000000"/>
          <w:sz w:val="24"/>
          <w:szCs w:val="24"/>
        </w:rPr>
        <w:t xml:space="preserve"> Some columns were duplicated during the cleaning process. These were removed using: df.loc[:, </w:t>
      </w:r>
      <w:r w:rsidRPr="000F130C">
        <w:rPr>
          <w:rStyle w:val="HTMLCode"/>
          <w:rFonts w:ascii="Times New Roman" w:eastAsiaTheme="minorHAnsi" w:hAnsi="Times New Roman" w:cs="Times New Roman"/>
          <w:color w:val="000000"/>
          <w:sz w:val="24"/>
          <w:szCs w:val="24"/>
        </w:rPr>
        <w:t>~df.columns</w:t>
      </w:r>
      <w:r>
        <w:rPr>
          <w:rStyle w:val="HTMLCode"/>
          <w:rFonts w:ascii="Times New Roman" w:eastAsiaTheme="minorHAnsi" w:hAnsi="Times New Roman" w:cs="Times New Roman"/>
          <w:color w:val="000000"/>
          <w:sz w:val="24"/>
          <w:szCs w:val="24"/>
        </w:rPr>
        <w:t>.duplicated(keep=‘first’)]</w:t>
      </w:r>
      <w:r w:rsidR="00E71714">
        <w:rPr>
          <w:rStyle w:val="HTMLCode"/>
          <w:rFonts w:ascii="Times New Roman" w:eastAsiaTheme="minorHAnsi" w:hAnsi="Times New Roman" w:cs="Times New Roman"/>
          <w:color w:val="000000"/>
          <w:sz w:val="24"/>
          <w:szCs w:val="24"/>
        </w:rPr>
        <w:t>.</w:t>
      </w:r>
    </w:p>
    <w:p w14:paraId="7EBA115E" w14:textId="2FEA1539" w:rsidR="00E71714" w:rsidRDefault="00E71714" w:rsidP="00D3370C">
      <w:pPr>
        <w:ind w:left="142"/>
        <w:jc w:val="both"/>
        <w:rPr>
          <w:rStyle w:val="HTMLCode"/>
          <w:rFonts w:ascii="Times New Roman" w:eastAsiaTheme="minorHAnsi" w:hAnsi="Times New Roman" w:cs="Times New Roman"/>
          <w:color w:val="000000"/>
          <w:sz w:val="24"/>
          <w:szCs w:val="24"/>
        </w:rPr>
      </w:pPr>
      <w:r>
        <w:rPr>
          <w:rStyle w:val="HTMLCode"/>
          <w:rFonts w:ascii="Times New Roman" w:eastAsiaTheme="minorHAnsi" w:hAnsi="Times New Roman" w:cs="Times New Roman"/>
          <w:color w:val="000000"/>
          <w:sz w:val="24"/>
          <w:szCs w:val="24"/>
        </w:rPr>
        <w:t>Then all the chosen datasets</w:t>
      </w:r>
      <w:r w:rsidR="00D3370C">
        <w:rPr>
          <w:rStyle w:val="HTMLCode"/>
          <w:rFonts w:ascii="Times New Roman" w:eastAsiaTheme="minorHAnsi" w:hAnsi="Times New Roman" w:cs="Times New Roman"/>
          <w:color w:val="000000"/>
          <w:sz w:val="24"/>
          <w:szCs w:val="24"/>
        </w:rPr>
        <w:t xml:space="preserve"> </w:t>
      </w:r>
      <w:r>
        <w:rPr>
          <w:rStyle w:val="HTMLCode"/>
          <w:rFonts w:ascii="Times New Roman" w:eastAsiaTheme="minorHAnsi" w:hAnsi="Times New Roman" w:cs="Times New Roman"/>
          <w:color w:val="000000"/>
          <w:sz w:val="24"/>
          <w:szCs w:val="24"/>
        </w:rPr>
        <w:t>(tables) were cleaned.</w:t>
      </w:r>
    </w:p>
    <w:p w14:paraId="6642B8AC" w14:textId="0380DD54" w:rsidR="00E71714" w:rsidRPr="00D3370C" w:rsidRDefault="00E71714" w:rsidP="000F130C">
      <w:pPr>
        <w:ind w:left="142"/>
        <w:rPr>
          <w:rStyle w:val="HTMLCode"/>
          <w:rFonts w:ascii="Times New Roman" w:eastAsiaTheme="minorHAnsi" w:hAnsi="Times New Roman" w:cs="Times New Roman"/>
          <w:b/>
          <w:bCs/>
          <w:color w:val="000000"/>
          <w:sz w:val="24"/>
          <w:szCs w:val="24"/>
        </w:rPr>
      </w:pPr>
      <w:r w:rsidRPr="00D3370C">
        <w:rPr>
          <w:rStyle w:val="HTMLCode"/>
          <w:rFonts w:ascii="Times New Roman" w:eastAsiaTheme="minorHAnsi" w:hAnsi="Times New Roman" w:cs="Times New Roman"/>
          <w:b/>
          <w:bCs/>
          <w:color w:val="000000"/>
          <w:sz w:val="24"/>
          <w:szCs w:val="24"/>
        </w:rPr>
        <w:t>Boundary Change</w:t>
      </w:r>
      <w:r w:rsidR="00307BBC" w:rsidRPr="00D3370C">
        <w:rPr>
          <w:rStyle w:val="HTMLCode"/>
          <w:rFonts w:ascii="Times New Roman" w:eastAsiaTheme="minorHAnsi" w:hAnsi="Times New Roman" w:cs="Times New Roman"/>
          <w:b/>
          <w:bCs/>
          <w:color w:val="000000"/>
          <w:sz w:val="24"/>
          <w:szCs w:val="24"/>
        </w:rPr>
        <w:t xml:space="preserve"> </w:t>
      </w:r>
      <w:r w:rsidR="005C1638" w:rsidRPr="00D3370C">
        <w:rPr>
          <w:rStyle w:val="HTMLCode"/>
          <w:rFonts w:ascii="Times New Roman" w:eastAsiaTheme="minorHAnsi" w:hAnsi="Times New Roman" w:cs="Times New Roman"/>
          <w:b/>
          <w:bCs/>
          <w:color w:val="000000"/>
          <w:sz w:val="24"/>
          <w:szCs w:val="24"/>
        </w:rPr>
        <w:t>Reconciliation</w:t>
      </w:r>
    </w:p>
    <w:p w14:paraId="6D169362" w14:textId="3484407F" w:rsidR="00835581" w:rsidRDefault="00E71714" w:rsidP="00D3370C">
      <w:pPr>
        <w:pStyle w:val="NormalWeb"/>
        <w:ind w:left="142"/>
        <w:jc w:val="both"/>
        <w:rPr>
          <w:color w:val="000000"/>
        </w:rPr>
      </w:pPr>
      <w:r>
        <w:rPr>
          <w:rStyle w:val="HTMLCode"/>
          <w:rFonts w:ascii="Times New Roman" w:eastAsiaTheme="minorHAnsi" w:hAnsi="Times New Roman" w:cs="Times New Roman"/>
          <w:color w:val="000000"/>
          <w:sz w:val="24"/>
          <w:szCs w:val="24"/>
        </w:rPr>
        <w:t xml:space="preserve">One of the biggest challenges was that </w:t>
      </w:r>
      <w:r w:rsidR="00307BBC">
        <w:rPr>
          <w:rStyle w:val="HTMLCode"/>
          <w:rFonts w:ascii="Times New Roman" w:eastAsiaTheme="minorHAnsi" w:hAnsi="Times New Roman" w:cs="Times New Roman"/>
          <w:color w:val="000000"/>
          <w:sz w:val="24"/>
          <w:szCs w:val="24"/>
        </w:rPr>
        <w:t xml:space="preserve">the </w:t>
      </w:r>
      <w:r>
        <w:rPr>
          <w:rStyle w:val="HTMLCode"/>
          <w:rFonts w:ascii="Times New Roman" w:eastAsiaTheme="minorHAnsi" w:hAnsi="Times New Roman" w:cs="Times New Roman"/>
          <w:color w:val="000000"/>
          <w:sz w:val="24"/>
          <w:szCs w:val="24"/>
        </w:rPr>
        <w:t>LAD boundaries changed between 2011 and 2021.</w:t>
      </w:r>
      <w:r w:rsidR="00307BBC">
        <w:rPr>
          <w:rStyle w:val="HTMLCode"/>
          <w:rFonts w:ascii="Times New Roman" w:eastAsiaTheme="minorHAnsi" w:hAnsi="Times New Roman" w:cs="Times New Roman"/>
          <w:color w:val="000000"/>
          <w:sz w:val="24"/>
          <w:szCs w:val="24"/>
        </w:rPr>
        <w:t xml:space="preserve"> To manage this a LAD lookup file was downloaded from the ONS Open Geography Portal. This file provided an official mapping between 2011 and 2021 LAD codes, identifying which districts has been merged or reorganised into new unitary authorities.</w:t>
      </w:r>
    </w:p>
    <w:p w14:paraId="046E32FE" w14:textId="184D5DC6" w:rsidR="00835581" w:rsidRPr="00D3370C" w:rsidRDefault="00835581" w:rsidP="00D3370C">
      <w:pPr>
        <w:pStyle w:val="NormalWeb"/>
        <w:ind w:left="142"/>
        <w:jc w:val="both"/>
        <w:rPr>
          <w:b/>
          <w:bCs/>
          <w:color w:val="000000"/>
        </w:rPr>
      </w:pPr>
      <w:r w:rsidRPr="00D3370C">
        <w:rPr>
          <w:b/>
          <w:bCs/>
          <w:color w:val="000000"/>
        </w:rPr>
        <w:t>Missing Values</w:t>
      </w:r>
    </w:p>
    <w:p w14:paraId="591EAE29" w14:textId="7EFBCD61" w:rsidR="00835581" w:rsidRDefault="00835581" w:rsidP="00D3370C">
      <w:pPr>
        <w:pStyle w:val="NormalWeb"/>
        <w:ind w:left="142"/>
        <w:jc w:val="both"/>
        <w:rPr>
          <w:color w:val="000000"/>
        </w:rPr>
      </w:pPr>
      <w:r>
        <w:rPr>
          <w:color w:val="000000"/>
        </w:rPr>
        <w:t>After cleaning, no missing values were found in the datasets. However, the 2011 files did not include clear area names, as Nomis downloads often omit them. To solve this, area names were taken from the 2021 TS054 CSV file and mapped onto the 2011 data using the geo codes as the key.</w:t>
      </w:r>
    </w:p>
    <w:p w14:paraId="1639C98B" w14:textId="0746B7F7" w:rsidR="00835581" w:rsidRPr="00D3370C" w:rsidRDefault="00835581" w:rsidP="00D3370C">
      <w:pPr>
        <w:pStyle w:val="NormalWeb"/>
        <w:ind w:left="142"/>
        <w:jc w:val="both"/>
        <w:rPr>
          <w:b/>
          <w:bCs/>
          <w:color w:val="000000"/>
        </w:rPr>
      </w:pPr>
      <w:r w:rsidRPr="00D3370C">
        <w:rPr>
          <w:b/>
          <w:bCs/>
          <w:color w:val="000000"/>
        </w:rPr>
        <w:t>Geocoding</w:t>
      </w:r>
    </w:p>
    <w:p w14:paraId="4FBB8646" w14:textId="260CC32F" w:rsidR="00835581" w:rsidRDefault="00835581" w:rsidP="00D3370C">
      <w:pPr>
        <w:pStyle w:val="NormalWeb"/>
        <w:ind w:left="142"/>
        <w:jc w:val="both"/>
        <w:rPr>
          <w:color w:val="000000"/>
        </w:rPr>
      </w:pPr>
      <w:r>
        <w:rPr>
          <w:color w:val="000000"/>
        </w:rPr>
        <w:t xml:space="preserve">Tableau’s built-in UK geocoding could not recognise many Local Authority names, resulting in 206 unknown locations. To fix this, a custom file called lad_coordinates.csv was created. This contains latitude and longitude values for all 361 LADs, sourced from the ONS geography portal. These were merged into the final dataset allowing tableau to plot all areas accurately as </w:t>
      </w:r>
      <w:r w:rsidR="00307BBC">
        <w:rPr>
          <w:color w:val="000000"/>
        </w:rPr>
        <w:t>without</w:t>
      </w:r>
      <w:r>
        <w:rPr>
          <w:color w:val="000000"/>
        </w:rPr>
        <w:t xml:space="preserve"> relaying on its internal geocoding system.</w:t>
      </w:r>
      <w:r w:rsidR="00307BBC">
        <w:rPr>
          <w:color w:val="000000"/>
        </w:rPr>
        <w:t xml:space="preserve"> In addition, a Tableau geocoding folder provided as part of the coursework materials was added to the Tableau Repository. This enabled Tableau to resolve ONS geography codes to map shapes at Local </w:t>
      </w:r>
      <w:r w:rsidR="000C7118">
        <w:rPr>
          <w:color w:val="000000"/>
        </w:rPr>
        <w:t>Authority</w:t>
      </w:r>
      <w:r w:rsidR="00307BBC">
        <w:rPr>
          <w:color w:val="000000"/>
        </w:rPr>
        <w:t xml:space="preserve"> level</w:t>
      </w:r>
      <w:r w:rsidR="000C7118">
        <w:rPr>
          <w:color w:val="000000"/>
        </w:rPr>
        <w:t>.</w:t>
      </w:r>
    </w:p>
    <w:p w14:paraId="14FAEDFC" w14:textId="7C34B4A8" w:rsidR="00835581" w:rsidRPr="00D3370C" w:rsidRDefault="00835581" w:rsidP="00D3370C">
      <w:pPr>
        <w:pStyle w:val="NormalWeb"/>
        <w:ind w:left="142"/>
        <w:jc w:val="both"/>
        <w:rPr>
          <w:b/>
          <w:bCs/>
          <w:color w:val="000000"/>
        </w:rPr>
      </w:pPr>
      <w:r w:rsidRPr="00D3370C">
        <w:rPr>
          <w:b/>
          <w:bCs/>
          <w:color w:val="000000"/>
        </w:rPr>
        <w:t>Dimensionality Reduction</w:t>
      </w:r>
      <w:r w:rsidR="00D3370C" w:rsidRPr="00D3370C">
        <w:rPr>
          <w:b/>
          <w:bCs/>
          <w:color w:val="000000"/>
        </w:rPr>
        <w:t xml:space="preserve"> and Forecast</w:t>
      </w:r>
    </w:p>
    <w:p w14:paraId="5DEA30E7" w14:textId="6CC75030" w:rsidR="00D3370C" w:rsidRDefault="00D3370C" w:rsidP="004E549F">
      <w:pPr>
        <w:pStyle w:val="NormalWeb"/>
        <w:numPr>
          <w:ilvl w:val="0"/>
          <w:numId w:val="9"/>
        </w:numPr>
        <w:ind w:left="567" w:hanging="283"/>
        <w:jc w:val="both"/>
        <w:rPr>
          <w:color w:val="000000"/>
        </w:rPr>
      </w:pPr>
      <w:r w:rsidRPr="00D3370C">
        <w:rPr>
          <w:b/>
          <w:bCs/>
          <w:color w:val="000000"/>
        </w:rPr>
        <w:t>Principal Component Analysis</w:t>
      </w:r>
      <w:r w:rsidR="005726D1">
        <w:rPr>
          <w:b/>
          <w:bCs/>
          <w:color w:val="000000"/>
        </w:rPr>
        <w:t xml:space="preserve"> </w:t>
      </w:r>
      <w:r w:rsidRPr="00D3370C">
        <w:rPr>
          <w:b/>
          <w:bCs/>
          <w:color w:val="000000"/>
        </w:rPr>
        <w:t>(PCA)</w:t>
      </w:r>
      <w:r>
        <w:rPr>
          <w:color w:val="000000"/>
        </w:rPr>
        <w:t xml:space="preserve"> was applied separately to the 2011 and 2021 datasets. It reduced nine variables into two main components. PCA was chosen because it preserves overall variance and helps identify which variables contribute most to the patterns. The explained variance ratio was recorded to show how much information was retained.</w:t>
      </w:r>
    </w:p>
    <w:p w14:paraId="641D77FA" w14:textId="488FB5E6" w:rsidR="00D3370C" w:rsidRDefault="005726D1" w:rsidP="004E549F">
      <w:pPr>
        <w:pStyle w:val="NormalWeb"/>
        <w:numPr>
          <w:ilvl w:val="0"/>
          <w:numId w:val="9"/>
        </w:numPr>
        <w:ind w:left="567" w:hanging="283"/>
        <w:jc w:val="both"/>
        <w:rPr>
          <w:color w:val="000000"/>
        </w:rPr>
      </w:pPr>
      <w:r w:rsidRPr="005726D1">
        <w:rPr>
          <w:b/>
          <w:bCs/>
        </w:rPr>
        <w:t>t-distributed Stochastic Neighbour Embedding</w:t>
      </w:r>
      <w:r>
        <w:t xml:space="preserve"> </w:t>
      </w:r>
      <w:r>
        <w:t>(</w:t>
      </w:r>
      <w:r w:rsidR="00D3370C" w:rsidRPr="00D3370C">
        <w:rPr>
          <w:b/>
          <w:bCs/>
          <w:color w:val="000000"/>
        </w:rPr>
        <w:t>t-SNE</w:t>
      </w:r>
      <w:r>
        <w:rPr>
          <w:b/>
          <w:bCs/>
          <w:color w:val="000000"/>
        </w:rPr>
        <w:t>)</w:t>
      </w:r>
      <w:r w:rsidR="00D3370C">
        <w:rPr>
          <w:color w:val="000000"/>
        </w:rPr>
        <w:t xml:space="preserve"> was then used on the same data (with a perplexity of 30 and 1000 </w:t>
      </w:r>
      <w:r w:rsidR="005C1638">
        <w:rPr>
          <w:color w:val="000000"/>
        </w:rPr>
        <w:t>iterations</w:t>
      </w:r>
      <w:r w:rsidR="00D3370C">
        <w:rPr>
          <w:color w:val="000000"/>
        </w:rPr>
        <w:t>, using PCA initialisation). Unlike PCA, t-SNE captures non-linear relationships and groups similar areas together, revealing clusters of LADs with similar socio-economic profiles.</w:t>
      </w:r>
    </w:p>
    <w:p w14:paraId="60CF854B" w14:textId="597FEFA3" w:rsidR="00835581" w:rsidRDefault="00D3370C" w:rsidP="004E549F">
      <w:pPr>
        <w:pStyle w:val="NormalWeb"/>
        <w:numPr>
          <w:ilvl w:val="0"/>
          <w:numId w:val="9"/>
        </w:numPr>
        <w:ind w:left="567" w:hanging="283"/>
        <w:jc w:val="both"/>
        <w:rPr>
          <w:color w:val="000000"/>
        </w:rPr>
      </w:pPr>
      <w:r w:rsidRPr="00D3370C">
        <w:rPr>
          <w:b/>
          <w:bCs/>
          <w:color w:val="000000"/>
        </w:rPr>
        <w:t>Bayesian Linear Regression</w:t>
      </w:r>
      <w:r>
        <w:rPr>
          <w:color w:val="000000"/>
        </w:rPr>
        <w:t xml:space="preserve"> was implemented to analyse trends over time. This was used to model changes in private renting between 2011 and 2021 and forecast values up to 2030. The model was sampled using MCMC (2000 draws,1000 tuning steps). The output included a mean trend line and 95% credible intervals.</w:t>
      </w:r>
    </w:p>
    <w:p w14:paraId="599F15B6" w14:textId="77777777" w:rsidR="00E110C6" w:rsidRDefault="00E110C6" w:rsidP="00E110C6">
      <w:pPr>
        <w:pStyle w:val="NormalWeb"/>
        <w:ind w:left="567"/>
        <w:jc w:val="both"/>
        <w:rPr>
          <w:color w:val="000000"/>
        </w:rPr>
      </w:pPr>
    </w:p>
    <w:p w14:paraId="2F346837" w14:textId="203D0CC6" w:rsidR="00835581" w:rsidRPr="00D3370C" w:rsidRDefault="00835581" w:rsidP="00835581">
      <w:pPr>
        <w:pStyle w:val="NormalWeb"/>
        <w:rPr>
          <w:b/>
          <w:bCs/>
          <w:color w:val="000000"/>
        </w:rPr>
      </w:pPr>
      <w:r w:rsidRPr="00D3370C">
        <w:rPr>
          <w:b/>
          <w:bCs/>
          <w:color w:val="000000"/>
        </w:rPr>
        <w:lastRenderedPageBreak/>
        <w:t>Final Datasets</w:t>
      </w:r>
    </w:p>
    <w:p w14:paraId="1BCC7AC8" w14:textId="11EC6CC5" w:rsidR="00835581" w:rsidRDefault="00835581" w:rsidP="00835581">
      <w:pPr>
        <w:pStyle w:val="NormalWeb"/>
        <w:rPr>
          <w:color w:val="000000"/>
        </w:rPr>
      </w:pPr>
      <w:r>
        <w:rPr>
          <w:color w:val="000000"/>
        </w:rPr>
        <w:t>The following datasets were produced for Tableau visualisations.</w:t>
      </w:r>
    </w:p>
    <w:p w14:paraId="2C52BFD2" w14:textId="2224AF8C" w:rsidR="005726D1" w:rsidRPr="005726D1" w:rsidRDefault="00835581" w:rsidP="005726D1">
      <w:pPr>
        <w:pStyle w:val="NormalWeb"/>
        <w:numPr>
          <w:ilvl w:val="0"/>
          <w:numId w:val="8"/>
        </w:numPr>
        <w:spacing w:line="276" w:lineRule="auto"/>
        <w:ind w:left="567" w:hanging="207"/>
        <w:jc w:val="both"/>
        <w:rPr>
          <w:color w:val="000000" w:themeColor="text1"/>
        </w:rPr>
      </w:pPr>
      <w:r w:rsidRPr="005726D1">
        <w:rPr>
          <w:color w:val="000000" w:themeColor="text1"/>
        </w:rPr>
        <w:t>Mer</w:t>
      </w:r>
      <w:r w:rsidR="005726D1">
        <w:rPr>
          <w:color w:val="000000" w:themeColor="text1"/>
        </w:rPr>
        <w:t>ged_2011</w:t>
      </w:r>
    </w:p>
    <w:p w14:paraId="56A1DCF1" w14:textId="00E26FCC" w:rsidR="00835581" w:rsidRDefault="00835581" w:rsidP="005726D1">
      <w:pPr>
        <w:pStyle w:val="NormalWeb"/>
        <w:numPr>
          <w:ilvl w:val="0"/>
          <w:numId w:val="8"/>
        </w:numPr>
        <w:spacing w:line="276" w:lineRule="auto"/>
        <w:ind w:left="567" w:hanging="207"/>
        <w:jc w:val="both"/>
        <w:rPr>
          <w:color w:val="000000"/>
        </w:rPr>
      </w:pPr>
      <w:r>
        <w:rPr>
          <w:color w:val="000000"/>
        </w:rPr>
        <w:t>Merged_2021</w:t>
      </w:r>
    </w:p>
    <w:p w14:paraId="44704288" w14:textId="19B1AED7" w:rsidR="00835581" w:rsidRDefault="00835581" w:rsidP="005726D1">
      <w:pPr>
        <w:pStyle w:val="NormalWeb"/>
        <w:numPr>
          <w:ilvl w:val="0"/>
          <w:numId w:val="8"/>
        </w:numPr>
        <w:spacing w:line="276" w:lineRule="auto"/>
        <w:ind w:left="567" w:hanging="207"/>
        <w:jc w:val="both"/>
        <w:rPr>
          <w:color w:val="000000"/>
        </w:rPr>
      </w:pPr>
      <w:r>
        <w:rPr>
          <w:color w:val="000000"/>
        </w:rPr>
        <w:t>Combined_2011_2021</w:t>
      </w:r>
    </w:p>
    <w:p w14:paraId="4C1BDAA6" w14:textId="128CE0FE" w:rsidR="00835581" w:rsidRDefault="00835581" w:rsidP="005726D1">
      <w:pPr>
        <w:pStyle w:val="NormalWeb"/>
        <w:numPr>
          <w:ilvl w:val="0"/>
          <w:numId w:val="8"/>
        </w:numPr>
        <w:spacing w:line="276" w:lineRule="auto"/>
        <w:ind w:left="567" w:hanging="207"/>
        <w:jc w:val="both"/>
        <w:rPr>
          <w:color w:val="000000"/>
        </w:rPr>
      </w:pPr>
      <w:r>
        <w:rPr>
          <w:color w:val="000000"/>
        </w:rPr>
        <w:t>PCA_Results</w:t>
      </w:r>
    </w:p>
    <w:p w14:paraId="36BC379B" w14:textId="615E8190" w:rsidR="00835581" w:rsidRDefault="00835581" w:rsidP="005726D1">
      <w:pPr>
        <w:pStyle w:val="NormalWeb"/>
        <w:numPr>
          <w:ilvl w:val="0"/>
          <w:numId w:val="8"/>
        </w:numPr>
        <w:spacing w:line="276" w:lineRule="auto"/>
        <w:ind w:left="567" w:hanging="207"/>
        <w:jc w:val="both"/>
        <w:rPr>
          <w:color w:val="000000"/>
        </w:rPr>
      </w:pPr>
      <w:r>
        <w:rPr>
          <w:color w:val="000000"/>
        </w:rPr>
        <w:t>T-SNE_Results</w:t>
      </w:r>
    </w:p>
    <w:p w14:paraId="5249E3BF" w14:textId="08968347" w:rsidR="00A9513E" w:rsidRDefault="00835581" w:rsidP="005726D1">
      <w:pPr>
        <w:pStyle w:val="NormalWeb"/>
        <w:numPr>
          <w:ilvl w:val="0"/>
          <w:numId w:val="8"/>
        </w:numPr>
        <w:spacing w:line="276" w:lineRule="auto"/>
        <w:ind w:left="567" w:hanging="207"/>
        <w:jc w:val="both"/>
        <w:rPr>
          <w:color w:val="000000"/>
        </w:rPr>
      </w:pPr>
      <w:r>
        <w:rPr>
          <w:color w:val="000000"/>
        </w:rPr>
        <w:t>Bayesian_Forecast</w:t>
      </w:r>
    </w:p>
    <w:p w14:paraId="29CDFE0D" w14:textId="37C645AF" w:rsidR="00E110C6" w:rsidRDefault="00E110C6" w:rsidP="00E110C6">
      <w:pPr>
        <w:pStyle w:val="NormalWeb"/>
        <w:jc w:val="both"/>
        <w:rPr>
          <w:color w:val="000000"/>
        </w:rPr>
      </w:pPr>
      <w:r>
        <w:rPr>
          <w:color w:val="000000"/>
        </w:rPr>
        <w:t>All of these were exported as CSV files and uploaded into Tableau for visualisation.</w:t>
      </w:r>
    </w:p>
    <w:p w14:paraId="6D4A7655" w14:textId="77777777" w:rsidR="00E110C6" w:rsidRPr="00D3370C" w:rsidRDefault="00E110C6" w:rsidP="00E110C6">
      <w:pPr>
        <w:pStyle w:val="NormalWeb"/>
        <w:jc w:val="both"/>
        <w:rPr>
          <w:color w:val="000000"/>
        </w:rPr>
      </w:pPr>
    </w:p>
    <w:p w14:paraId="4C0E503A" w14:textId="77777777" w:rsidR="004D7989" w:rsidRDefault="002C319B" w:rsidP="004D7989">
      <w:pPr>
        <w:pStyle w:val="ListParagraph"/>
        <w:numPr>
          <w:ilvl w:val="0"/>
          <w:numId w:val="6"/>
        </w:numPr>
        <w:ind w:left="142" w:hanging="142"/>
        <w:rPr>
          <w:rFonts w:ascii="Times New Roman" w:hAnsi="Times New Roman" w:cs="Times New Roman"/>
          <w:b/>
          <w:bCs/>
        </w:rPr>
      </w:pPr>
      <w:r w:rsidRPr="004D7989">
        <w:rPr>
          <w:rFonts w:ascii="Times New Roman" w:hAnsi="Times New Roman" w:cs="Times New Roman"/>
          <w:b/>
          <w:bCs/>
        </w:rPr>
        <w:t>TASK DEFINITION</w:t>
      </w:r>
    </w:p>
    <w:p w14:paraId="20DEC1E2" w14:textId="77777777" w:rsidR="00E61BB3" w:rsidRDefault="00E61BB3" w:rsidP="00E61BB3">
      <w:pPr>
        <w:pStyle w:val="ListParagraph"/>
        <w:ind w:left="142"/>
        <w:rPr>
          <w:rFonts w:ascii="Times New Roman" w:hAnsi="Times New Roman" w:cs="Times New Roman"/>
          <w:b/>
          <w:bCs/>
        </w:rPr>
      </w:pPr>
    </w:p>
    <w:p w14:paraId="2C17DA56" w14:textId="25A2667E" w:rsidR="00E61BB3" w:rsidRDefault="00E61BB3" w:rsidP="00E110C6">
      <w:pPr>
        <w:pStyle w:val="ListParagraph"/>
        <w:ind w:left="142"/>
        <w:jc w:val="both"/>
        <w:rPr>
          <w:rFonts w:ascii="Times New Roman" w:hAnsi="Times New Roman" w:cs="Times New Roman"/>
        </w:rPr>
      </w:pPr>
      <w:r w:rsidRPr="00E61BB3">
        <w:rPr>
          <w:rFonts w:ascii="Times New Roman" w:hAnsi="Times New Roman" w:cs="Times New Roman"/>
        </w:rPr>
        <w:t>Using</w:t>
      </w:r>
      <w:r>
        <w:rPr>
          <w:rFonts w:ascii="Times New Roman" w:hAnsi="Times New Roman" w:cs="Times New Roman"/>
        </w:rPr>
        <w:t xml:space="preserve"> Munzner’s taxonomy (Munzner, 2014), the analytical goals of this </w:t>
      </w:r>
      <w:r w:rsidR="005C1638">
        <w:rPr>
          <w:rFonts w:ascii="Times New Roman" w:hAnsi="Times New Roman" w:cs="Times New Roman"/>
        </w:rPr>
        <w:t>visualisation</w:t>
      </w:r>
      <w:r>
        <w:rPr>
          <w:rFonts w:ascii="Times New Roman" w:hAnsi="Times New Roman" w:cs="Times New Roman"/>
        </w:rPr>
        <w:t xml:space="preserve"> can be described across several key task types.</w:t>
      </w:r>
    </w:p>
    <w:p w14:paraId="360536EB" w14:textId="77777777" w:rsidR="00E61BB3" w:rsidRDefault="00E61BB3" w:rsidP="00E110C6">
      <w:pPr>
        <w:pStyle w:val="ListParagraph"/>
        <w:ind w:left="142"/>
        <w:jc w:val="both"/>
        <w:rPr>
          <w:rFonts w:ascii="Times New Roman" w:hAnsi="Times New Roman" w:cs="Times New Roman"/>
        </w:rPr>
      </w:pPr>
    </w:p>
    <w:p w14:paraId="2BEC71F2" w14:textId="20B8DD79" w:rsidR="00E61BB3" w:rsidRDefault="00E61BB3" w:rsidP="00E110C6">
      <w:pPr>
        <w:pStyle w:val="ListParagraph"/>
        <w:ind w:left="142"/>
        <w:jc w:val="both"/>
        <w:rPr>
          <w:rFonts w:ascii="Times New Roman" w:hAnsi="Times New Roman" w:cs="Times New Roman"/>
        </w:rPr>
      </w:pPr>
      <w:r w:rsidRPr="005C1638">
        <w:rPr>
          <w:rFonts w:ascii="Times New Roman" w:hAnsi="Times New Roman" w:cs="Times New Roman"/>
          <w:b/>
          <w:bCs/>
        </w:rPr>
        <w:t>Discover:</w:t>
      </w:r>
      <w:r>
        <w:rPr>
          <w:rFonts w:ascii="Times New Roman" w:hAnsi="Times New Roman" w:cs="Times New Roman"/>
        </w:rPr>
        <w:t xml:space="preserve"> A central aim is to uncover patterns that are not immediately obvious, particularly in housing tenure and deprivation distributions across England and Wales. By applying PCA and t-SNE, it reveals underlying cluster structures and relationships that would be difficult to detect when looking at individual variables separately.</w:t>
      </w:r>
    </w:p>
    <w:p w14:paraId="19F80615" w14:textId="77777777" w:rsidR="00E61BB3" w:rsidRDefault="00E61BB3" w:rsidP="00E110C6">
      <w:pPr>
        <w:pStyle w:val="ListParagraph"/>
        <w:ind w:left="142"/>
        <w:jc w:val="both"/>
        <w:rPr>
          <w:rFonts w:ascii="Times New Roman" w:hAnsi="Times New Roman" w:cs="Times New Roman"/>
        </w:rPr>
      </w:pPr>
    </w:p>
    <w:p w14:paraId="46C2CAFE" w14:textId="2504127E" w:rsidR="00E61BB3" w:rsidRDefault="005C1638" w:rsidP="00E110C6">
      <w:pPr>
        <w:pStyle w:val="ListParagraph"/>
        <w:ind w:left="142"/>
        <w:jc w:val="both"/>
        <w:rPr>
          <w:rFonts w:ascii="Times New Roman" w:hAnsi="Times New Roman" w:cs="Times New Roman"/>
        </w:rPr>
      </w:pPr>
      <w:r w:rsidRPr="005C1638">
        <w:rPr>
          <w:rFonts w:ascii="Times New Roman" w:hAnsi="Times New Roman" w:cs="Times New Roman"/>
          <w:b/>
          <w:bCs/>
        </w:rPr>
        <w:t>Compare</w:t>
      </w:r>
      <w:r w:rsidR="00E61BB3" w:rsidRPr="005C1638">
        <w:rPr>
          <w:rFonts w:ascii="Times New Roman" w:hAnsi="Times New Roman" w:cs="Times New Roman"/>
          <w:b/>
          <w:bCs/>
        </w:rPr>
        <w:t>:</w:t>
      </w:r>
      <w:r w:rsidR="00E61BB3">
        <w:rPr>
          <w:rFonts w:ascii="Times New Roman" w:hAnsi="Times New Roman" w:cs="Times New Roman"/>
        </w:rPr>
        <w:t xml:space="preserve"> The dashboards are designed to support direct comparison between LADs between the years 2011 and 2021. The use of Pages shelf in tableau makes it easier to switch between the years, helping users observe how housing patterns have evolved over time.</w:t>
      </w:r>
    </w:p>
    <w:p w14:paraId="6D60D02A" w14:textId="77777777" w:rsidR="00E61BB3" w:rsidRDefault="00E61BB3" w:rsidP="00E110C6">
      <w:pPr>
        <w:pStyle w:val="ListParagraph"/>
        <w:ind w:left="142"/>
        <w:jc w:val="both"/>
        <w:rPr>
          <w:rFonts w:ascii="Times New Roman" w:hAnsi="Times New Roman" w:cs="Times New Roman"/>
        </w:rPr>
      </w:pPr>
    </w:p>
    <w:p w14:paraId="5594751E" w14:textId="1E30BF32" w:rsidR="00E61BB3" w:rsidRDefault="005C1638" w:rsidP="00E110C6">
      <w:pPr>
        <w:pStyle w:val="ListParagraph"/>
        <w:ind w:left="142"/>
        <w:jc w:val="both"/>
        <w:rPr>
          <w:rFonts w:ascii="Times New Roman" w:hAnsi="Times New Roman" w:cs="Times New Roman"/>
        </w:rPr>
      </w:pPr>
      <w:r w:rsidRPr="005C1638">
        <w:rPr>
          <w:rFonts w:ascii="Times New Roman" w:hAnsi="Times New Roman" w:cs="Times New Roman"/>
          <w:b/>
          <w:bCs/>
        </w:rPr>
        <w:t>Identify</w:t>
      </w:r>
      <w:r w:rsidR="00E61BB3" w:rsidRPr="005C1638">
        <w:rPr>
          <w:rFonts w:ascii="Times New Roman" w:hAnsi="Times New Roman" w:cs="Times New Roman"/>
          <w:b/>
          <w:bCs/>
        </w:rPr>
        <w:t>:</w:t>
      </w:r>
      <w:r>
        <w:rPr>
          <w:rFonts w:ascii="Times New Roman" w:hAnsi="Times New Roman" w:cs="Times New Roman"/>
        </w:rPr>
        <w:t xml:space="preserve"> U</w:t>
      </w:r>
      <w:r w:rsidR="00E61BB3">
        <w:rPr>
          <w:rFonts w:ascii="Times New Roman" w:hAnsi="Times New Roman" w:cs="Times New Roman"/>
        </w:rPr>
        <w:t xml:space="preserve">sers can easily spot outliers in the form of LADs that differ from broader trends. These might include areas with unusually high growth in private renting or distinct deprivation patterns. Interactive tooltips further assist by clearly identifying each LAD represented in the </w:t>
      </w:r>
      <w:r>
        <w:rPr>
          <w:rFonts w:ascii="Times New Roman" w:hAnsi="Times New Roman" w:cs="Times New Roman"/>
        </w:rPr>
        <w:t>visualisations</w:t>
      </w:r>
      <w:r w:rsidR="00E61BB3">
        <w:rPr>
          <w:rFonts w:ascii="Times New Roman" w:hAnsi="Times New Roman" w:cs="Times New Roman"/>
        </w:rPr>
        <w:t>.</w:t>
      </w:r>
    </w:p>
    <w:p w14:paraId="075D38FC" w14:textId="77777777" w:rsidR="00E61BB3" w:rsidRDefault="00E61BB3" w:rsidP="00E110C6">
      <w:pPr>
        <w:pStyle w:val="ListParagraph"/>
        <w:ind w:left="142"/>
        <w:jc w:val="both"/>
        <w:rPr>
          <w:rFonts w:ascii="Times New Roman" w:hAnsi="Times New Roman" w:cs="Times New Roman"/>
        </w:rPr>
      </w:pPr>
    </w:p>
    <w:p w14:paraId="5DF49B13" w14:textId="3E36A01E" w:rsidR="00E61BB3" w:rsidRDefault="00E61BB3" w:rsidP="00E110C6">
      <w:pPr>
        <w:pStyle w:val="ListParagraph"/>
        <w:ind w:left="142"/>
        <w:jc w:val="both"/>
        <w:rPr>
          <w:rFonts w:ascii="Times New Roman" w:hAnsi="Times New Roman" w:cs="Times New Roman"/>
        </w:rPr>
      </w:pPr>
      <w:r w:rsidRPr="005C1638">
        <w:rPr>
          <w:rFonts w:ascii="Times New Roman" w:hAnsi="Times New Roman" w:cs="Times New Roman"/>
          <w:b/>
          <w:bCs/>
        </w:rPr>
        <w:t>Summarise:</w:t>
      </w:r>
      <w:r>
        <w:rPr>
          <w:rFonts w:ascii="Times New Roman" w:hAnsi="Times New Roman" w:cs="Times New Roman"/>
        </w:rPr>
        <w:t xml:space="preserve"> The Bayesian forecast dashboard provides a clear summary of national-level trends in private renting.</w:t>
      </w:r>
      <w:r w:rsidR="002B72F7">
        <w:rPr>
          <w:rFonts w:ascii="Times New Roman" w:hAnsi="Times New Roman" w:cs="Times New Roman"/>
        </w:rPr>
        <w:t xml:space="preserve"> It condenses data into an overall trajectory while also communicating uncertainty in the predictions.</w:t>
      </w:r>
    </w:p>
    <w:p w14:paraId="1186B0F4" w14:textId="77777777" w:rsidR="002B72F7" w:rsidRDefault="002B72F7" w:rsidP="00E110C6">
      <w:pPr>
        <w:pStyle w:val="ListParagraph"/>
        <w:ind w:left="142"/>
        <w:jc w:val="both"/>
        <w:rPr>
          <w:rFonts w:ascii="Times New Roman" w:hAnsi="Times New Roman" w:cs="Times New Roman"/>
        </w:rPr>
      </w:pPr>
    </w:p>
    <w:p w14:paraId="219324F0" w14:textId="55DB39BE" w:rsidR="00D3370C" w:rsidRPr="002B72F7" w:rsidRDefault="002B72F7" w:rsidP="00E110C6">
      <w:pPr>
        <w:pStyle w:val="ListParagraph"/>
        <w:ind w:left="142"/>
        <w:jc w:val="both"/>
        <w:rPr>
          <w:rFonts w:ascii="Times New Roman" w:hAnsi="Times New Roman" w:cs="Times New Roman"/>
        </w:rPr>
      </w:pPr>
      <w:r w:rsidRPr="005C1638">
        <w:rPr>
          <w:rFonts w:ascii="Times New Roman" w:hAnsi="Times New Roman" w:cs="Times New Roman"/>
          <w:b/>
          <w:bCs/>
        </w:rPr>
        <w:t>Locate:</w:t>
      </w:r>
      <w:r>
        <w:rPr>
          <w:rFonts w:ascii="Times New Roman" w:hAnsi="Times New Roman" w:cs="Times New Roman"/>
        </w:rPr>
        <w:t xml:space="preserve"> The choropleth map enables users to understand the geographic distribution of housing patterns. It allows them to quickly see where particular trends are concentrated across England and Wales, supporting spatial awareness and regional analysis.</w:t>
      </w:r>
    </w:p>
    <w:p w14:paraId="144A9B27" w14:textId="77777777" w:rsidR="00E110C6" w:rsidRDefault="00E110C6" w:rsidP="00E110C6">
      <w:pPr>
        <w:rPr>
          <w:rFonts w:ascii="Times New Roman" w:hAnsi="Times New Roman" w:cs="Times New Roman"/>
          <w:b/>
          <w:bCs/>
        </w:rPr>
      </w:pPr>
    </w:p>
    <w:p w14:paraId="581F6DC7" w14:textId="77777777" w:rsidR="00E110C6" w:rsidRPr="005726D1" w:rsidRDefault="00E110C6" w:rsidP="005726D1">
      <w:pPr>
        <w:rPr>
          <w:rFonts w:ascii="Times New Roman" w:hAnsi="Times New Roman" w:cs="Times New Roman"/>
          <w:b/>
          <w:bCs/>
        </w:rPr>
      </w:pPr>
    </w:p>
    <w:p w14:paraId="2AFB2726" w14:textId="43DB1538" w:rsidR="00453A1B" w:rsidRDefault="00453A1B" w:rsidP="004D7989">
      <w:pPr>
        <w:pStyle w:val="ListParagraph"/>
        <w:numPr>
          <w:ilvl w:val="0"/>
          <w:numId w:val="6"/>
        </w:numPr>
        <w:ind w:left="142" w:hanging="142"/>
        <w:rPr>
          <w:rFonts w:ascii="Times New Roman" w:hAnsi="Times New Roman" w:cs="Times New Roman"/>
          <w:b/>
          <w:bCs/>
        </w:rPr>
      </w:pPr>
      <w:r w:rsidRPr="004D7989">
        <w:rPr>
          <w:rFonts w:ascii="Times New Roman" w:hAnsi="Times New Roman" w:cs="Times New Roman"/>
          <w:b/>
          <w:bCs/>
        </w:rPr>
        <w:lastRenderedPageBreak/>
        <w:t>VISUALISATION JUSTIFICATION</w:t>
      </w:r>
    </w:p>
    <w:p w14:paraId="669403CE" w14:textId="37593331" w:rsidR="002B72F7" w:rsidRDefault="00BA658C" w:rsidP="002B72F7">
      <w:pPr>
        <w:rPr>
          <w:rFonts w:ascii="Times New Roman" w:hAnsi="Times New Roman" w:cs="Times New Roman"/>
          <w:b/>
          <w:bCs/>
        </w:rPr>
      </w:pPr>
      <w:r>
        <w:rPr>
          <w:rFonts w:ascii="Times New Roman" w:hAnsi="Times New Roman" w:cs="Times New Roman"/>
          <w:b/>
          <w:bCs/>
        </w:rPr>
        <w:t>Dashboard 1 – Tenure change map and top 20 bar chart</w:t>
      </w:r>
    </w:p>
    <w:p w14:paraId="4DE717F2" w14:textId="3A52350B" w:rsidR="00BA658C" w:rsidRDefault="00BA658C" w:rsidP="00E110C6">
      <w:pPr>
        <w:jc w:val="both"/>
        <w:rPr>
          <w:rFonts w:ascii="Times New Roman" w:hAnsi="Times New Roman" w:cs="Times New Roman"/>
        </w:rPr>
      </w:pPr>
      <w:r>
        <w:rPr>
          <w:rFonts w:ascii="Times New Roman" w:hAnsi="Times New Roman" w:cs="Times New Roman"/>
        </w:rPr>
        <w:t xml:space="preserve">A choropleth map was chosen to represent the spatial distribution of private renting. The percentage of private renting is encoded using a sequential </w:t>
      </w:r>
      <w:r w:rsidR="0025200C">
        <w:rPr>
          <w:rFonts w:ascii="Times New Roman" w:hAnsi="Times New Roman" w:cs="Times New Roman"/>
        </w:rPr>
        <w:t xml:space="preserve">Blue-Teal </w:t>
      </w:r>
      <w:r>
        <w:rPr>
          <w:rFonts w:ascii="Times New Roman" w:hAnsi="Times New Roman" w:cs="Times New Roman"/>
        </w:rPr>
        <w:t>colour scale moving from low to high values</w:t>
      </w:r>
      <w:r w:rsidR="0091688D">
        <w:rPr>
          <w:rFonts w:ascii="Times New Roman" w:hAnsi="Times New Roman" w:cs="Times New Roman"/>
        </w:rPr>
        <w:t xml:space="preserve"> (Brewer, 1994).</w:t>
      </w:r>
      <w:r>
        <w:rPr>
          <w:rFonts w:ascii="Times New Roman" w:hAnsi="Times New Roman" w:cs="Times New Roman"/>
        </w:rPr>
        <w:t xml:space="preserve"> The year toggle through Pages shelf allows to quickly switch between 2011 and 2021.</w:t>
      </w:r>
    </w:p>
    <w:p w14:paraId="3B829BA1" w14:textId="1C9944AF" w:rsidR="00BA658C" w:rsidRDefault="00BA658C" w:rsidP="00E110C6">
      <w:pPr>
        <w:jc w:val="both"/>
        <w:rPr>
          <w:rFonts w:ascii="Times New Roman" w:hAnsi="Times New Roman" w:cs="Times New Roman"/>
        </w:rPr>
      </w:pPr>
      <w:r>
        <w:rPr>
          <w:rFonts w:ascii="Times New Roman" w:hAnsi="Times New Roman" w:cs="Times New Roman"/>
        </w:rPr>
        <w:t>To complement the map, a bar chart displaying the top 20 LADs by private renting rate was included. While maps are effective for showing spatial patterns, they are less suitable for precise comparisons between areas that are not geographically adjacent. The bar chart addresses this and makes it easier to identify and rank the highest renting areas.</w:t>
      </w:r>
    </w:p>
    <w:p w14:paraId="72C14411" w14:textId="36638CAE" w:rsidR="00BA658C" w:rsidRPr="005C1638" w:rsidRDefault="00BA658C" w:rsidP="00E110C6">
      <w:pPr>
        <w:jc w:val="both"/>
        <w:rPr>
          <w:rFonts w:ascii="Times New Roman" w:hAnsi="Times New Roman" w:cs="Times New Roman"/>
          <w:b/>
          <w:bCs/>
        </w:rPr>
      </w:pPr>
      <w:r w:rsidRPr="005C1638">
        <w:rPr>
          <w:rFonts w:ascii="Times New Roman" w:hAnsi="Times New Roman" w:cs="Times New Roman"/>
          <w:b/>
          <w:bCs/>
        </w:rPr>
        <w:t>Dashboard 2 – Deprivation vs Private Renting Scatter</w:t>
      </w:r>
    </w:p>
    <w:p w14:paraId="1BC7D5FB" w14:textId="2D753F1B" w:rsidR="003C52A0" w:rsidRDefault="003C52A0" w:rsidP="00E110C6">
      <w:pPr>
        <w:jc w:val="both"/>
        <w:rPr>
          <w:rFonts w:ascii="Times New Roman" w:hAnsi="Times New Roman" w:cs="Times New Roman"/>
        </w:rPr>
      </w:pPr>
      <w:r>
        <w:rPr>
          <w:rFonts w:ascii="Times New Roman" w:hAnsi="Times New Roman" w:cs="Times New Roman"/>
        </w:rPr>
        <w:t xml:space="preserve">A scatter plot was selected to examine the relationship between private renting and multi-dimensional deprivation. This allows two </w:t>
      </w:r>
      <w:r w:rsidR="006B76A3">
        <w:rPr>
          <w:rFonts w:ascii="Times New Roman" w:hAnsi="Times New Roman" w:cs="Times New Roman"/>
        </w:rPr>
        <w:t>variables</w:t>
      </w:r>
      <w:r>
        <w:rPr>
          <w:rFonts w:ascii="Times New Roman" w:hAnsi="Times New Roman" w:cs="Times New Roman"/>
        </w:rPr>
        <w:t xml:space="preserve"> to be displayed simultaneously using position, which is the most accurate visual encoding channel (Munzner, 2014). Colour is used to distinguish between 2011 and 2021 to enable users to directly observe how the relationship may have changed over time.</w:t>
      </w:r>
    </w:p>
    <w:p w14:paraId="1C9E876D" w14:textId="5D020579" w:rsidR="0025200C" w:rsidRDefault="0025200C" w:rsidP="00E110C6">
      <w:pPr>
        <w:jc w:val="both"/>
        <w:rPr>
          <w:rFonts w:ascii="Times New Roman" w:hAnsi="Times New Roman" w:cs="Times New Roman"/>
        </w:rPr>
      </w:pPr>
      <w:r>
        <w:rPr>
          <w:rFonts w:ascii="Times New Roman" w:hAnsi="Times New Roman" w:cs="Times New Roman"/>
        </w:rPr>
        <w:t>It is accompanied with a bar chart to show the most deprived LADs by multi-dimensional deprivation with two colours to represent the years.</w:t>
      </w:r>
    </w:p>
    <w:p w14:paraId="73FC5DF2" w14:textId="09E9EFD4" w:rsidR="006F585A" w:rsidRPr="005C1638" w:rsidRDefault="006F585A" w:rsidP="00E110C6">
      <w:pPr>
        <w:jc w:val="both"/>
        <w:rPr>
          <w:rFonts w:ascii="Times New Roman" w:hAnsi="Times New Roman" w:cs="Times New Roman"/>
          <w:b/>
          <w:bCs/>
        </w:rPr>
      </w:pPr>
      <w:r w:rsidRPr="005C1638">
        <w:rPr>
          <w:rFonts w:ascii="Times New Roman" w:hAnsi="Times New Roman" w:cs="Times New Roman"/>
          <w:b/>
          <w:bCs/>
        </w:rPr>
        <w:t>Dashboard 3 – PCA and t-SNE Projections</w:t>
      </w:r>
    </w:p>
    <w:p w14:paraId="651CBC96" w14:textId="18D95643" w:rsidR="006F585A" w:rsidRDefault="006F585A" w:rsidP="00E110C6">
      <w:pPr>
        <w:jc w:val="both"/>
        <w:rPr>
          <w:rFonts w:ascii="Times New Roman" w:hAnsi="Times New Roman" w:cs="Times New Roman"/>
        </w:rPr>
      </w:pPr>
      <w:r>
        <w:rPr>
          <w:rFonts w:ascii="Times New Roman" w:hAnsi="Times New Roman" w:cs="Times New Roman"/>
        </w:rPr>
        <w:t>Principal Component Analysis was chosen as the first dimensionality reduction method.</w:t>
      </w:r>
      <w:r w:rsidR="003015FB">
        <w:rPr>
          <w:rFonts w:ascii="Times New Roman" w:hAnsi="Times New Roman" w:cs="Times New Roman"/>
        </w:rPr>
        <w:t xml:space="preserve"> The first two principal components (PC1 and PC2) capture the dominant version in the dataset to understand how different variables contribute to overall patterns.</w:t>
      </w:r>
    </w:p>
    <w:p w14:paraId="7379F447" w14:textId="26C09093" w:rsidR="003015FB" w:rsidRDefault="003015FB" w:rsidP="00E110C6">
      <w:pPr>
        <w:jc w:val="both"/>
        <w:rPr>
          <w:rFonts w:ascii="Times New Roman" w:hAnsi="Times New Roman" w:cs="Times New Roman"/>
        </w:rPr>
      </w:pPr>
      <w:r>
        <w:rPr>
          <w:rFonts w:ascii="Times New Roman" w:hAnsi="Times New Roman" w:cs="Times New Roman"/>
        </w:rPr>
        <w:t>T-SNE was used alongside PCA to capture non-linear relationships and local structures that PCA may miss.</w:t>
      </w:r>
      <w:r w:rsidR="0060588F">
        <w:rPr>
          <w:rFonts w:ascii="Times New Roman" w:hAnsi="Times New Roman" w:cs="Times New Roman"/>
        </w:rPr>
        <w:t xml:space="preserve"> It groups similar LADs into clusters based on socio-economic similarity.</w:t>
      </w:r>
    </w:p>
    <w:p w14:paraId="2A0AFBD2" w14:textId="239B642F" w:rsidR="0060588F" w:rsidRDefault="0060588F" w:rsidP="00E110C6">
      <w:pPr>
        <w:jc w:val="both"/>
        <w:rPr>
          <w:rFonts w:ascii="Times New Roman" w:hAnsi="Times New Roman" w:cs="Times New Roman"/>
        </w:rPr>
      </w:pPr>
      <w:r>
        <w:rPr>
          <w:rFonts w:ascii="Times New Roman" w:hAnsi="Times New Roman" w:cs="Times New Roman"/>
        </w:rPr>
        <w:t>Presenting both in the same dashboard</w:t>
      </w:r>
      <w:r w:rsidR="000B6719">
        <w:rPr>
          <w:rFonts w:ascii="Times New Roman" w:hAnsi="Times New Roman" w:cs="Times New Roman"/>
        </w:rPr>
        <w:t xml:space="preserve"> as scatter plots with reference lines</w:t>
      </w:r>
      <w:r>
        <w:rPr>
          <w:rFonts w:ascii="Times New Roman" w:hAnsi="Times New Roman" w:cs="Times New Roman"/>
        </w:rPr>
        <w:t xml:space="preserve"> makes it easier to compare global structure with local clustering. Colour is used to represent year to understand how these structures evolve over time.</w:t>
      </w:r>
    </w:p>
    <w:p w14:paraId="1178701A" w14:textId="399D5F97" w:rsidR="0060588F" w:rsidRPr="005C1638" w:rsidRDefault="0060588F" w:rsidP="00E110C6">
      <w:pPr>
        <w:jc w:val="both"/>
        <w:rPr>
          <w:rFonts w:ascii="Times New Roman" w:hAnsi="Times New Roman" w:cs="Times New Roman"/>
          <w:b/>
          <w:bCs/>
        </w:rPr>
      </w:pPr>
      <w:r w:rsidRPr="005C1638">
        <w:rPr>
          <w:rFonts w:ascii="Times New Roman" w:hAnsi="Times New Roman" w:cs="Times New Roman"/>
          <w:b/>
          <w:bCs/>
        </w:rPr>
        <w:t>Dashboard</w:t>
      </w:r>
      <w:r w:rsidR="00790489" w:rsidRPr="005C1638">
        <w:rPr>
          <w:rFonts w:ascii="Times New Roman" w:hAnsi="Times New Roman" w:cs="Times New Roman"/>
          <w:b/>
          <w:bCs/>
        </w:rPr>
        <w:t xml:space="preserve"> 4 – Bayesian Forecast</w:t>
      </w:r>
    </w:p>
    <w:p w14:paraId="0715F022" w14:textId="1022C319" w:rsidR="00790489" w:rsidRDefault="00790489" w:rsidP="00E110C6">
      <w:pPr>
        <w:jc w:val="both"/>
        <w:rPr>
          <w:rFonts w:ascii="Times New Roman" w:hAnsi="Times New Roman" w:cs="Times New Roman"/>
        </w:rPr>
      </w:pPr>
      <w:r>
        <w:rPr>
          <w:rFonts w:ascii="Times New Roman" w:hAnsi="Times New Roman" w:cs="Times New Roman"/>
        </w:rPr>
        <w:t>Bayesian Linear regression was selected due to the limited number of data points. By incorporating weakly informative priors based on known housing trends, the models generate credible intervals that reflect uncertainty in the predictions.</w:t>
      </w:r>
    </w:p>
    <w:p w14:paraId="35354E82" w14:textId="78E6EDE0" w:rsidR="00790489" w:rsidRDefault="00790489" w:rsidP="00E110C6">
      <w:pPr>
        <w:jc w:val="both"/>
        <w:rPr>
          <w:rFonts w:ascii="Times New Roman" w:hAnsi="Times New Roman" w:cs="Times New Roman"/>
        </w:rPr>
      </w:pPr>
      <w:r>
        <w:rPr>
          <w:rFonts w:ascii="Times New Roman" w:hAnsi="Times New Roman" w:cs="Times New Roman"/>
        </w:rPr>
        <w:t>The 95% credible interval is particularly useful because it provides a direct and intuitive interpretation and the range within which true value is likely to fall with 95% probability.</w:t>
      </w:r>
    </w:p>
    <w:p w14:paraId="62005645" w14:textId="7DC80B9D" w:rsidR="00BA658C" w:rsidRDefault="00790489" w:rsidP="00E110C6">
      <w:pPr>
        <w:jc w:val="both"/>
        <w:rPr>
          <w:rFonts w:ascii="Times New Roman" w:hAnsi="Times New Roman" w:cs="Times New Roman"/>
        </w:rPr>
      </w:pPr>
      <w:r>
        <w:rPr>
          <w:rFonts w:ascii="Times New Roman" w:hAnsi="Times New Roman" w:cs="Times New Roman"/>
        </w:rPr>
        <w:t>A line chart</w:t>
      </w:r>
      <w:r w:rsidR="000B6719">
        <w:rPr>
          <w:rFonts w:ascii="Times New Roman" w:hAnsi="Times New Roman" w:cs="Times New Roman"/>
        </w:rPr>
        <w:t xml:space="preserve"> </w:t>
      </w:r>
      <w:r>
        <w:rPr>
          <w:rFonts w:ascii="Times New Roman" w:hAnsi="Times New Roman" w:cs="Times New Roman"/>
        </w:rPr>
        <w:t xml:space="preserve">is used to display the forecast as it naturally represents trends over time. The left-to-right </w:t>
      </w:r>
      <w:r w:rsidR="000829CB">
        <w:rPr>
          <w:rFonts w:ascii="Times New Roman" w:hAnsi="Times New Roman" w:cs="Times New Roman"/>
        </w:rPr>
        <w:t>prog</w:t>
      </w:r>
      <w:r w:rsidR="006B76A3">
        <w:rPr>
          <w:rFonts w:ascii="Times New Roman" w:hAnsi="Times New Roman" w:cs="Times New Roman"/>
        </w:rPr>
        <w:t>r</w:t>
      </w:r>
      <w:r w:rsidR="000829CB">
        <w:rPr>
          <w:rFonts w:ascii="Times New Roman" w:hAnsi="Times New Roman" w:cs="Times New Roman"/>
        </w:rPr>
        <w:t>ession</w:t>
      </w:r>
      <w:r w:rsidR="006B76A3">
        <w:rPr>
          <w:rFonts w:ascii="Times New Roman" w:hAnsi="Times New Roman" w:cs="Times New Roman"/>
        </w:rPr>
        <w:t xml:space="preserve"> </w:t>
      </w:r>
      <w:r w:rsidR="000829CB">
        <w:rPr>
          <w:rFonts w:ascii="Times New Roman" w:hAnsi="Times New Roman" w:cs="Times New Roman"/>
        </w:rPr>
        <w:t>aligns with how users typically interpret temporal data and makes visualisation easy to follow.</w:t>
      </w:r>
    </w:p>
    <w:p w14:paraId="4F217EF0" w14:textId="77777777" w:rsidR="000829CB" w:rsidRPr="00BA658C" w:rsidRDefault="000829CB" w:rsidP="002B72F7">
      <w:pPr>
        <w:rPr>
          <w:rFonts w:ascii="Times New Roman" w:hAnsi="Times New Roman" w:cs="Times New Roman"/>
        </w:rPr>
      </w:pPr>
    </w:p>
    <w:p w14:paraId="0E8E8E89" w14:textId="4B66C491" w:rsidR="004D7989" w:rsidRDefault="004D7989" w:rsidP="004D7989">
      <w:pPr>
        <w:pStyle w:val="ListParagraph"/>
        <w:numPr>
          <w:ilvl w:val="0"/>
          <w:numId w:val="6"/>
        </w:numPr>
        <w:ind w:left="142" w:hanging="142"/>
        <w:rPr>
          <w:rFonts w:ascii="Times New Roman" w:hAnsi="Times New Roman" w:cs="Times New Roman"/>
          <w:b/>
          <w:bCs/>
        </w:rPr>
      </w:pPr>
      <w:r>
        <w:rPr>
          <w:rFonts w:ascii="Times New Roman" w:hAnsi="Times New Roman" w:cs="Times New Roman"/>
          <w:b/>
          <w:bCs/>
        </w:rPr>
        <w:t>EVALUATION</w:t>
      </w:r>
    </w:p>
    <w:p w14:paraId="17D1484E" w14:textId="65E27D7D" w:rsidR="000829CB" w:rsidRDefault="000829CB" w:rsidP="00E110C6">
      <w:pPr>
        <w:jc w:val="both"/>
        <w:rPr>
          <w:rFonts w:ascii="Times New Roman" w:hAnsi="Times New Roman" w:cs="Times New Roman"/>
        </w:rPr>
      </w:pPr>
      <w:r w:rsidRPr="000829CB">
        <w:rPr>
          <w:rFonts w:ascii="Times New Roman" w:hAnsi="Times New Roman" w:cs="Times New Roman"/>
        </w:rPr>
        <w:t>The e</w:t>
      </w:r>
      <w:r>
        <w:rPr>
          <w:rFonts w:ascii="Times New Roman" w:hAnsi="Times New Roman" w:cs="Times New Roman"/>
        </w:rPr>
        <w:t>valuation was carried out as a group discussion involving five participants, each working on their own dashboards comparing various social issues in England and Wales between 2011 and 2021. The session followed an informal think-aloud approach where members interact with visualisations while verbalising their thought process.</w:t>
      </w:r>
    </w:p>
    <w:p w14:paraId="21EC7F55" w14:textId="5CB15488" w:rsidR="000829CB" w:rsidRDefault="000829CB" w:rsidP="00E110C6">
      <w:pPr>
        <w:jc w:val="both"/>
        <w:rPr>
          <w:rFonts w:ascii="Times New Roman" w:hAnsi="Times New Roman" w:cs="Times New Roman"/>
        </w:rPr>
      </w:pPr>
      <w:r>
        <w:rPr>
          <w:rFonts w:ascii="Times New Roman" w:hAnsi="Times New Roman" w:cs="Times New Roman"/>
        </w:rPr>
        <w:t xml:space="preserve">Each participant presented their worksheets instead of revealing </w:t>
      </w:r>
      <w:r w:rsidR="00F81F5F">
        <w:rPr>
          <w:rFonts w:ascii="Times New Roman" w:hAnsi="Times New Roman" w:cs="Times New Roman"/>
        </w:rPr>
        <w:t xml:space="preserve">the </w:t>
      </w:r>
      <w:r>
        <w:rPr>
          <w:rFonts w:ascii="Times New Roman" w:hAnsi="Times New Roman" w:cs="Times New Roman"/>
        </w:rPr>
        <w:t xml:space="preserve">dashboards and posed analytical questions, which the rest of the group attempted to answer. </w:t>
      </w:r>
      <w:r w:rsidR="00F81F5F">
        <w:rPr>
          <w:rFonts w:ascii="Times New Roman" w:hAnsi="Times New Roman" w:cs="Times New Roman"/>
        </w:rPr>
        <w:t xml:space="preserve">This helped assess how effective the </w:t>
      </w:r>
      <w:r w:rsidR="006B76A3">
        <w:rPr>
          <w:rFonts w:ascii="Times New Roman" w:hAnsi="Times New Roman" w:cs="Times New Roman"/>
        </w:rPr>
        <w:t>visualisations were.</w:t>
      </w:r>
    </w:p>
    <w:p w14:paraId="434F03E1" w14:textId="5F07D487" w:rsidR="006B76A3" w:rsidRDefault="006B76A3" w:rsidP="00E110C6">
      <w:pPr>
        <w:jc w:val="both"/>
        <w:rPr>
          <w:rFonts w:ascii="Times New Roman" w:hAnsi="Times New Roman" w:cs="Times New Roman"/>
        </w:rPr>
      </w:pPr>
      <w:r>
        <w:rPr>
          <w:rFonts w:ascii="Times New Roman" w:hAnsi="Times New Roman" w:cs="Times New Roman"/>
        </w:rPr>
        <w:t>One participant’s map lacked sufficient context and lacked labels or indicators, and they took my suggestion to add annotations and labels. I encountered challenges with geocoding LADs in Tableau and the members helped me figure it out. Another discussion focused on selecting appropriate visualisations for multi-variable data, demonstrating the value of collaborative feedback and adapting accordingly.</w:t>
      </w:r>
    </w:p>
    <w:p w14:paraId="050A9041" w14:textId="0FC02CF8" w:rsidR="00E110C6" w:rsidRDefault="006B76A3" w:rsidP="00E110C6">
      <w:pPr>
        <w:jc w:val="both"/>
        <w:rPr>
          <w:rFonts w:ascii="Times New Roman" w:hAnsi="Times New Roman" w:cs="Times New Roman"/>
        </w:rPr>
      </w:pPr>
      <w:r>
        <w:rPr>
          <w:rFonts w:ascii="Times New Roman" w:hAnsi="Times New Roman" w:cs="Times New Roman"/>
        </w:rPr>
        <w:t>Overall, the evaluation session was pretty useful in terms of discussing ideas and reinforced the importance of clear labels, tooltips and contextual information. These were incorporated into the final version of the dashboards to improve usability an clarity.</w:t>
      </w:r>
    </w:p>
    <w:p w14:paraId="570AEE8E" w14:textId="77777777" w:rsidR="00F81F5F" w:rsidRPr="000829CB" w:rsidRDefault="00F81F5F" w:rsidP="00E110C6">
      <w:pPr>
        <w:jc w:val="both"/>
        <w:rPr>
          <w:rFonts w:ascii="Times New Roman" w:hAnsi="Times New Roman" w:cs="Times New Roman"/>
        </w:rPr>
      </w:pPr>
    </w:p>
    <w:p w14:paraId="682BB4B1" w14:textId="4DF11E3B" w:rsidR="004D7989" w:rsidRDefault="004D7989" w:rsidP="00E110C6">
      <w:pPr>
        <w:pStyle w:val="ListParagraph"/>
        <w:numPr>
          <w:ilvl w:val="0"/>
          <w:numId w:val="6"/>
        </w:numPr>
        <w:ind w:left="142" w:hanging="142"/>
        <w:jc w:val="both"/>
        <w:rPr>
          <w:rFonts w:ascii="Times New Roman" w:hAnsi="Times New Roman" w:cs="Times New Roman"/>
          <w:b/>
          <w:bCs/>
        </w:rPr>
      </w:pPr>
      <w:r>
        <w:rPr>
          <w:rFonts w:ascii="Times New Roman" w:hAnsi="Times New Roman" w:cs="Times New Roman"/>
          <w:b/>
          <w:bCs/>
        </w:rPr>
        <w:t>CONCLUSION</w:t>
      </w:r>
    </w:p>
    <w:p w14:paraId="04FB655A" w14:textId="77777777" w:rsidR="005C1638" w:rsidRDefault="005C1638" w:rsidP="00E110C6">
      <w:pPr>
        <w:pStyle w:val="ListParagraph"/>
        <w:ind w:left="142"/>
        <w:jc w:val="both"/>
        <w:rPr>
          <w:rFonts w:ascii="Times New Roman" w:hAnsi="Times New Roman" w:cs="Times New Roman"/>
          <w:b/>
          <w:bCs/>
        </w:rPr>
      </w:pPr>
    </w:p>
    <w:p w14:paraId="147FA2A7" w14:textId="10FB2579" w:rsidR="00017079" w:rsidRDefault="00017079" w:rsidP="00E110C6">
      <w:pPr>
        <w:pStyle w:val="ListParagraph"/>
        <w:ind w:left="142"/>
        <w:jc w:val="both"/>
        <w:rPr>
          <w:rFonts w:ascii="Times New Roman" w:hAnsi="Times New Roman" w:cs="Times New Roman"/>
          <w:b/>
          <w:bCs/>
        </w:rPr>
      </w:pPr>
      <w:r>
        <w:rPr>
          <w:rFonts w:ascii="Times New Roman" w:hAnsi="Times New Roman" w:cs="Times New Roman"/>
          <w:b/>
          <w:bCs/>
        </w:rPr>
        <w:t>Socio-Economic Findings</w:t>
      </w:r>
    </w:p>
    <w:p w14:paraId="630E2664" w14:textId="77777777" w:rsidR="00017079" w:rsidRDefault="00017079" w:rsidP="00E110C6">
      <w:pPr>
        <w:pStyle w:val="ListParagraph"/>
        <w:ind w:left="142"/>
        <w:jc w:val="both"/>
        <w:rPr>
          <w:rFonts w:ascii="Times New Roman" w:hAnsi="Times New Roman" w:cs="Times New Roman"/>
          <w:b/>
          <w:bCs/>
        </w:rPr>
      </w:pPr>
    </w:p>
    <w:p w14:paraId="06CE0D14" w14:textId="1CC5FBB8" w:rsidR="00D97A1F" w:rsidRPr="00D97A1F" w:rsidRDefault="005C1638" w:rsidP="00D97A1F">
      <w:pPr>
        <w:pStyle w:val="ListParagraph"/>
        <w:ind w:left="142"/>
        <w:jc w:val="both"/>
        <w:rPr>
          <w:rFonts w:ascii="Times New Roman" w:hAnsi="Times New Roman" w:cs="Times New Roman"/>
        </w:rPr>
      </w:pPr>
      <w:r w:rsidRPr="005C1638">
        <w:rPr>
          <w:rFonts w:ascii="Times New Roman" w:hAnsi="Times New Roman" w:cs="Times New Roman"/>
        </w:rPr>
        <w:t>This</w:t>
      </w:r>
      <w:r>
        <w:rPr>
          <w:rFonts w:ascii="Times New Roman" w:hAnsi="Times New Roman" w:cs="Times New Roman"/>
        </w:rPr>
        <w:t xml:space="preserve"> analysis reveals that housing tenure in England and Wales went through meaningful structural changes between 2011 and 2021. Private renting rose consistently across most LADs with pronounced increase observed in Urban areas and University cities. Multi-dimensional deprivation remained concentrated in post-industrial northern English cities like Blackpool, Liverpool, Middlesbrough and in the South Welsh valleys like Rhondda Cynon Taf and Blaenau Gwent. The scatter plot analysis suggests a positive relationship between private renting and multi-dimensional deprivation, consistent with the hypothesis that areas with weaker housing markets and lower incomes are more likely to rely on private renting rather than ownership. The Bayesian forecast </w:t>
      </w:r>
      <w:r w:rsidR="00017079">
        <w:rPr>
          <w:rFonts w:ascii="Times New Roman" w:hAnsi="Times New Roman" w:cs="Times New Roman"/>
        </w:rPr>
        <w:t>projects that national private renting will continue rising toward 22% by 2030, highlighting the shift form owner-occupation and raising important questions about housing security and affordability for future generations.</w:t>
      </w:r>
    </w:p>
    <w:p w14:paraId="6F8D3F7A" w14:textId="77777777" w:rsidR="00D97A1F" w:rsidRDefault="00D97A1F" w:rsidP="00E110C6">
      <w:pPr>
        <w:pStyle w:val="ListParagraph"/>
        <w:ind w:left="142"/>
        <w:jc w:val="both"/>
        <w:rPr>
          <w:rFonts w:ascii="Times New Roman" w:hAnsi="Times New Roman" w:cs="Times New Roman"/>
        </w:rPr>
      </w:pPr>
    </w:p>
    <w:p w14:paraId="75BA8654" w14:textId="77777777" w:rsidR="00D97A1F" w:rsidRPr="005C1638" w:rsidRDefault="00D97A1F" w:rsidP="00E110C6">
      <w:pPr>
        <w:pStyle w:val="ListParagraph"/>
        <w:ind w:left="142"/>
        <w:jc w:val="both"/>
        <w:rPr>
          <w:rFonts w:ascii="Times New Roman" w:hAnsi="Times New Roman" w:cs="Times New Roman"/>
        </w:rPr>
      </w:pPr>
    </w:p>
    <w:p w14:paraId="5BB6DF96" w14:textId="5125EA1E" w:rsidR="006B76A3" w:rsidRDefault="00017079" w:rsidP="006B76A3">
      <w:pPr>
        <w:rPr>
          <w:rFonts w:ascii="Times New Roman" w:hAnsi="Times New Roman" w:cs="Times New Roman"/>
          <w:b/>
          <w:bCs/>
        </w:rPr>
      </w:pPr>
      <w:r>
        <w:rPr>
          <w:rFonts w:ascii="Times New Roman" w:hAnsi="Times New Roman" w:cs="Times New Roman"/>
          <w:b/>
          <w:bCs/>
        </w:rPr>
        <w:t>Lessons Learned About Information Visualisation</w:t>
      </w:r>
    </w:p>
    <w:p w14:paraId="5DD27CF0" w14:textId="713446F0" w:rsidR="00017079" w:rsidRDefault="00017079" w:rsidP="00E110C6">
      <w:pPr>
        <w:jc w:val="both"/>
        <w:rPr>
          <w:rFonts w:ascii="Times New Roman" w:hAnsi="Times New Roman" w:cs="Times New Roman"/>
        </w:rPr>
      </w:pPr>
      <w:r w:rsidRPr="00017079">
        <w:rPr>
          <w:rFonts w:ascii="Times New Roman" w:hAnsi="Times New Roman" w:cs="Times New Roman"/>
        </w:rPr>
        <w:t xml:space="preserve">This </w:t>
      </w:r>
      <w:r>
        <w:rPr>
          <w:rFonts w:ascii="Times New Roman" w:hAnsi="Times New Roman" w:cs="Times New Roman"/>
        </w:rPr>
        <w:t>project reinforced</w:t>
      </w:r>
      <w:r w:rsidR="00132113">
        <w:rPr>
          <w:rFonts w:ascii="Times New Roman" w:hAnsi="Times New Roman" w:cs="Times New Roman"/>
        </w:rPr>
        <w:t xml:space="preserve"> several fundamental principles of information visualisation. The choice of visual encoding matters enormously. The iterative nature of visualisation design</w:t>
      </w:r>
      <w:r w:rsidR="00944565">
        <w:rPr>
          <w:rFonts w:ascii="Times New Roman" w:hAnsi="Times New Roman" w:cs="Times New Roman"/>
        </w:rPr>
        <w:t xml:space="preserve"> was also evident: initial dashboard designs required substantial revision based on peer feedback, </w:t>
      </w:r>
      <w:r w:rsidR="00944565">
        <w:rPr>
          <w:rFonts w:ascii="Times New Roman" w:hAnsi="Times New Roman" w:cs="Times New Roman"/>
        </w:rPr>
        <w:lastRenderedPageBreak/>
        <w:t>underscoring</w:t>
      </w:r>
      <w:r w:rsidR="00EA5DD9">
        <w:rPr>
          <w:rFonts w:ascii="Times New Roman" w:hAnsi="Times New Roman" w:cs="Times New Roman"/>
        </w:rPr>
        <w:t xml:space="preserve"> </w:t>
      </w:r>
      <w:r w:rsidR="00EA5DD9" w:rsidRPr="00EA5DD9">
        <w:rPr>
          <w:rFonts w:ascii="Times New Roman" w:hAnsi="Times New Roman" w:cs="Times New Roman"/>
        </w:rPr>
        <w:t>the importance of user evaluation even at early stages. The combination of multiple complementary visualisation types — maps for spatial distribution, scatter plots for correlation, dimensionality reduction for structure discovery, and forecast charts for temporal projection — proved more informative than any single approach would have been alone. Finally, the project highlighted the tension between analytical depth and communicative clarity: the most analytically sophisticated elements (PCA, t-SNE, Bayesian modelling) required the most careful annotation and contextual explanation to be accessible to non-specialist audiences.</w:t>
      </w:r>
    </w:p>
    <w:p w14:paraId="13084BAB" w14:textId="77777777" w:rsidR="00132113" w:rsidRPr="00017079" w:rsidRDefault="00132113" w:rsidP="006B76A3">
      <w:pPr>
        <w:rPr>
          <w:rFonts w:ascii="Times New Roman" w:hAnsi="Times New Roman" w:cs="Times New Roman"/>
        </w:rPr>
      </w:pPr>
    </w:p>
    <w:p w14:paraId="633DC825" w14:textId="5160E854" w:rsidR="00902F99" w:rsidRDefault="00902F99" w:rsidP="00902F99">
      <w:pPr>
        <w:pStyle w:val="ListParagraph"/>
        <w:ind w:left="142"/>
        <w:rPr>
          <w:rFonts w:ascii="Times New Roman" w:hAnsi="Times New Roman" w:cs="Times New Roman"/>
          <w:b/>
          <w:bCs/>
        </w:rPr>
      </w:pPr>
      <w:r>
        <w:rPr>
          <w:rFonts w:ascii="Times New Roman" w:hAnsi="Times New Roman" w:cs="Times New Roman"/>
          <w:b/>
          <w:bCs/>
        </w:rPr>
        <w:t>REFERENCES</w:t>
      </w:r>
    </w:p>
    <w:p w14:paraId="2EE08C52" w14:textId="77777777" w:rsidR="0091688D" w:rsidRPr="004D7989" w:rsidRDefault="0091688D" w:rsidP="00902F99">
      <w:pPr>
        <w:pStyle w:val="ListParagraph"/>
        <w:ind w:left="142"/>
        <w:rPr>
          <w:rFonts w:ascii="Times New Roman" w:hAnsi="Times New Roman" w:cs="Times New Roman"/>
          <w:b/>
          <w:bCs/>
        </w:rPr>
      </w:pPr>
    </w:p>
    <w:p w14:paraId="0E7CCF34" w14:textId="22439729" w:rsidR="0091688D" w:rsidRDefault="0091688D" w:rsidP="0091688D">
      <w:pPr>
        <w:pStyle w:val="ListParagraph"/>
        <w:numPr>
          <w:ilvl w:val="0"/>
          <w:numId w:val="10"/>
        </w:numPr>
        <w:rPr>
          <w:rFonts w:ascii="Times New Roman" w:hAnsi="Times New Roman" w:cs="Times New Roman"/>
        </w:rPr>
      </w:pPr>
      <w:r>
        <w:rPr>
          <w:rFonts w:ascii="Times New Roman" w:hAnsi="Times New Roman" w:cs="Times New Roman"/>
        </w:rPr>
        <w:t>Ronald,</w:t>
      </w:r>
      <w:r>
        <w:rPr>
          <w:rFonts w:ascii="Times New Roman" w:hAnsi="Times New Roman" w:cs="Times New Roman"/>
        </w:rPr>
        <w:t xml:space="preserve"> </w:t>
      </w:r>
      <w:r>
        <w:rPr>
          <w:rFonts w:ascii="Times New Roman" w:hAnsi="Times New Roman" w:cs="Times New Roman"/>
        </w:rPr>
        <w:t>R. &amp; Kalki,</w:t>
      </w:r>
      <w:r>
        <w:rPr>
          <w:rFonts w:ascii="Times New Roman" w:hAnsi="Times New Roman" w:cs="Times New Roman"/>
        </w:rPr>
        <w:t xml:space="preserve"> </w:t>
      </w:r>
      <w:r>
        <w:rPr>
          <w:rFonts w:ascii="Times New Roman" w:hAnsi="Times New Roman" w:cs="Times New Roman"/>
        </w:rPr>
        <w:t>J. (2018). Restoring a critical perspective on homeownership in urban research. Urban Studies, 55(1), 57-72.</w:t>
      </w:r>
    </w:p>
    <w:p w14:paraId="075CE78B" w14:textId="7D3B4C79" w:rsidR="0091688D" w:rsidRDefault="0091688D" w:rsidP="0091688D">
      <w:pPr>
        <w:pStyle w:val="ListParagraph"/>
        <w:numPr>
          <w:ilvl w:val="0"/>
          <w:numId w:val="10"/>
        </w:numPr>
        <w:rPr>
          <w:rFonts w:ascii="Times New Roman" w:hAnsi="Times New Roman" w:cs="Times New Roman"/>
        </w:rPr>
      </w:pPr>
      <w:r w:rsidRPr="0091688D">
        <w:rPr>
          <w:rFonts w:ascii="Times New Roman" w:hAnsi="Times New Roman" w:cs="Times New Roman"/>
          <w:color w:val="000000"/>
        </w:rPr>
        <w:t>ONS (2023)</w:t>
      </w:r>
      <w:r w:rsidRPr="0091688D">
        <w:rPr>
          <w:rFonts w:ascii="Times New Roman" w:hAnsi="Times New Roman" w:cs="Times New Roman"/>
          <w:color w:val="000000"/>
        </w:rPr>
        <w:t xml:space="preserve"> -</w:t>
      </w:r>
      <w:r w:rsidRPr="0091688D">
        <w:rPr>
          <w:rStyle w:val="apple-converted-space"/>
          <w:rFonts w:ascii="Times New Roman" w:hAnsi="Times New Roman" w:cs="Times New Roman"/>
          <w:color w:val="000000"/>
        </w:rPr>
        <w:t> </w:t>
      </w:r>
      <w:r w:rsidRPr="0091688D">
        <w:rPr>
          <w:rFonts w:ascii="Times New Roman" w:hAnsi="Times New Roman" w:cs="Times New Roman"/>
          <w:color w:val="000000"/>
        </w:rPr>
        <w:t>Office for National Statistics.</w:t>
      </w:r>
      <w:r w:rsidRPr="0091688D">
        <w:rPr>
          <w:rStyle w:val="apple-converted-space"/>
          <w:rFonts w:ascii="Times New Roman" w:hAnsi="Times New Roman" w:cs="Times New Roman"/>
          <w:color w:val="000000"/>
        </w:rPr>
        <w:t> </w:t>
      </w:r>
      <w:r w:rsidRPr="0091688D">
        <w:rPr>
          <w:rStyle w:val="Emphasis"/>
          <w:rFonts w:ascii="Times New Roman" w:hAnsi="Times New Roman" w:cs="Times New Roman"/>
          <w:color w:val="000000"/>
        </w:rPr>
        <w:t>Census 2021 results</w:t>
      </w:r>
      <w:r w:rsidRPr="0091688D">
        <w:rPr>
          <w:rFonts w:ascii="Times New Roman" w:hAnsi="Times New Roman" w:cs="Times New Roman"/>
          <w:color w:val="000000"/>
        </w:rPr>
        <w:t xml:space="preserve">. </w:t>
      </w:r>
      <w:r w:rsidRPr="0091688D">
        <w:rPr>
          <w:rFonts w:ascii="Times New Roman" w:hAnsi="Times New Roman" w:cs="Times New Roman"/>
        </w:rPr>
        <w:fldChar w:fldCharType="begin"/>
      </w:r>
      <w:r w:rsidRPr="0091688D">
        <w:rPr>
          <w:rFonts w:ascii="Times New Roman" w:hAnsi="Times New Roman" w:cs="Times New Roman"/>
        </w:rPr>
        <w:instrText>HYPERLINK "</w:instrText>
      </w:r>
      <w:r w:rsidRPr="0091688D">
        <w:rPr>
          <w:rFonts w:ascii="Times New Roman" w:hAnsi="Times New Roman" w:cs="Times New Roman"/>
        </w:rPr>
        <w:instrText>https://www.ons.gov.uk/census</w:instrText>
      </w:r>
      <w:r w:rsidRPr="0091688D">
        <w:rPr>
          <w:rFonts w:ascii="Times New Roman" w:hAnsi="Times New Roman" w:cs="Times New Roman"/>
        </w:rPr>
        <w:instrText>"</w:instrText>
      </w:r>
      <w:r w:rsidRPr="0091688D">
        <w:rPr>
          <w:rFonts w:ascii="Times New Roman" w:hAnsi="Times New Roman" w:cs="Times New Roman"/>
        </w:rPr>
        <w:fldChar w:fldCharType="separate"/>
      </w:r>
      <w:r w:rsidRPr="0091688D">
        <w:rPr>
          <w:rStyle w:val="Hyperlink"/>
          <w:rFonts w:ascii="Times New Roman" w:hAnsi="Times New Roman" w:cs="Times New Roman"/>
        </w:rPr>
        <w:t>https://www.ons.gov.uk/census</w:t>
      </w:r>
      <w:r w:rsidRPr="0091688D">
        <w:rPr>
          <w:rFonts w:ascii="Times New Roman" w:hAnsi="Times New Roman" w:cs="Times New Roman"/>
        </w:rPr>
        <w:fldChar w:fldCharType="end"/>
      </w:r>
    </w:p>
    <w:p w14:paraId="6268670C" w14:textId="166BC5A3" w:rsidR="0091688D" w:rsidRPr="0091688D" w:rsidRDefault="0091688D" w:rsidP="0091688D">
      <w:pPr>
        <w:pStyle w:val="ListParagraph"/>
        <w:numPr>
          <w:ilvl w:val="0"/>
          <w:numId w:val="10"/>
        </w:numPr>
        <w:rPr>
          <w:rFonts w:ascii="Times New Roman" w:hAnsi="Times New Roman" w:cs="Times New Roman"/>
        </w:rPr>
      </w:pPr>
      <w:r>
        <w:rPr>
          <w:rFonts w:ascii="Times New Roman" w:hAnsi="Times New Roman" w:cs="Times New Roman"/>
          <w:color w:val="000000"/>
        </w:rPr>
        <w:t xml:space="preserve">Nomis </w:t>
      </w:r>
      <w:r w:rsidR="00910A1A">
        <w:rPr>
          <w:rFonts w:ascii="Times New Roman" w:hAnsi="Times New Roman" w:cs="Times New Roman"/>
          <w:color w:val="000000"/>
        </w:rPr>
        <w:t>–</w:t>
      </w:r>
      <w:r>
        <w:rPr>
          <w:rFonts w:ascii="Times New Roman" w:hAnsi="Times New Roman" w:cs="Times New Roman"/>
        </w:rPr>
        <w:t xml:space="preserve"> </w:t>
      </w:r>
      <w:r w:rsidR="00910A1A">
        <w:rPr>
          <w:rFonts w:ascii="Times New Roman" w:hAnsi="Times New Roman" w:cs="Times New Roman"/>
        </w:rPr>
        <w:t>www.nomisweb.co.uk</w:t>
      </w:r>
    </w:p>
    <w:p w14:paraId="1556DC1E" w14:textId="1CAE6880" w:rsidR="0091688D" w:rsidRDefault="0091688D" w:rsidP="0091688D">
      <w:pPr>
        <w:pStyle w:val="ListParagraph"/>
        <w:numPr>
          <w:ilvl w:val="0"/>
          <w:numId w:val="10"/>
        </w:numPr>
        <w:rPr>
          <w:rFonts w:ascii="Times New Roman" w:hAnsi="Times New Roman" w:cs="Times New Roman"/>
        </w:rPr>
      </w:pPr>
      <w:r>
        <w:rPr>
          <w:rFonts w:ascii="Times New Roman" w:hAnsi="Times New Roman" w:cs="Times New Roman"/>
        </w:rPr>
        <w:t>Munzner, T. (2014). Visualisation Analysis and Design. CRC Press.</w:t>
      </w:r>
    </w:p>
    <w:p w14:paraId="168530D4" w14:textId="7E678193" w:rsidR="0091688D" w:rsidRDefault="0091688D" w:rsidP="0091688D">
      <w:pPr>
        <w:pStyle w:val="ListParagraph"/>
        <w:numPr>
          <w:ilvl w:val="0"/>
          <w:numId w:val="10"/>
        </w:numPr>
        <w:rPr>
          <w:rFonts w:ascii="Times New Roman" w:hAnsi="Times New Roman" w:cs="Times New Roman"/>
        </w:rPr>
      </w:pPr>
      <w:r>
        <w:rPr>
          <w:rFonts w:ascii="Times New Roman" w:hAnsi="Times New Roman" w:cs="Times New Roman"/>
        </w:rPr>
        <w:t>Brewer, C.A. (1994). Colour use guidelines for mapping and visualisation. Visualisation in Modern Cartography, 7, 123-147.</w:t>
      </w:r>
    </w:p>
    <w:p w14:paraId="434F7E14" w14:textId="62811E85" w:rsidR="0050616F" w:rsidRPr="0091688D" w:rsidRDefault="0050616F" w:rsidP="0091688D">
      <w:pPr>
        <w:pStyle w:val="ListParagraph"/>
        <w:ind w:left="218"/>
        <w:rPr>
          <w:rFonts w:ascii="Times New Roman" w:hAnsi="Times New Roman" w:cs="Times New Roman"/>
        </w:rPr>
      </w:pPr>
    </w:p>
    <w:sectPr w:rsidR="0050616F" w:rsidRPr="00916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31FF4"/>
    <w:multiLevelType w:val="hybridMultilevel"/>
    <w:tmpl w:val="B1406CAC"/>
    <w:lvl w:ilvl="0" w:tplc="C37CEF6C">
      <w:start w:val="1"/>
      <w:numFmt w:val="upperRoman"/>
      <w:lvlText w:val="%1."/>
      <w:lvlJc w:val="left"/>
      <w:pPr>
        <w:ind w:left="862" w:hanging="72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 w15:restartNumberingAfterBreak="0">
    <w:nsid w:val="4B6B1C7E"/>
    <w:multiLevelType w:val="hybridMultilevel"/>
    <w:tmpl w:val="8EEC648E"/>
    <w:lvl w:ilvl="0" w:tplc="08090013">
      <w:start w:val="1"/>
      <w:numFmt w:val="upperRoman"/>
      <w:lvlText w:val="%1."/>
      <w:lvlJc w:val="right"/>
      <w:pPr>
        <w:ind w:left="3022" w:hanging="360"/>
      </w:pPr>
    </w:lvl>
    <w:lvl w:ilvl="1" w:tplc="08090019" w:tentative="1">
      <w:start w:val="1"/>
      <w:numFmt w:val="lowerLetter"/>
      <w:lvlText w:val="%2."/>
      <w:lvlJc w:val="left"/>
      <w:pPr>
        <w:ind w:left="3742" w:hanging="360"/>
      </w:pPr>
    </w:lvl>
    <w:lvl w:ilvl="2" w:tplc="0809001B" w:tentative="1">
      <w:start w:val="1"/>
      <w:numFmt w:val="lowerRoman"/>
      <w:lvlText w:val="%3."/>
      <w:lvlJc w:val="right"/>
      <w:pPr>
        <w:ind w:left="4462" w:hanging="180"/>
      </w:pPr>
    </w:lvl>
    <w:lvl w:ilvl="3" w:tplc="0809000F" w:tentative="1">
      <w:start w:val="1"/>
      <w:numFmt w:val="decimal"/>
      <w:lvlText w:val="%4."/>
      <w:lvlJc w:val="left"/>
      <w:pPr>
        <w:ind w:left="5182" w:hanging="360"/>
      </w:pPr>
    </w:lvl>
    <w:lvl w:ilvl="4" w:tplc="08090019" w:tentative="1">
      <w:start w:val="1"/>
      <w:numFmt w:val="lowerLetter"/>
      <w:lvlText w:val="%5."/>
      <w:lvlJc w:val="left"/>
      <w:pPr>
        <w:ind w:left="5902" w:hanging="360"/>
      </w:pPr>
    </w:lvl>
    <w:lvl w:ilvl="5" w:tplc="0809001B" w:tentative="1">
      <w:start w:val="1"/>
      <w:numFmt w:val="lowerRoman"/>
      <w:lvlText w:val="%6."/>
      <w:lvlJc w:val="right"/>
      <w:pPr>
        <w:ind w:left="6622" w:hanging="180"/>
      </w:pPr>
    </w:lvl>
    <w:lvl w:ilvl="6" w:tplc="0809000F" w:tentative="1">
      <w:start w:val="1"/>
      <w:numFmt w:val="decimal"/>
      <w:lvlText w:val="%7."/>
      <w:lvlJc w:val="left"/>
      <w:pPr>
        <w:ind w:left="7342" w:hanging="360"/>
      </w:pPr>
    </w:lvl>
    <w:lvl w:ilvl="7" w:tplc="08090019" w:tentative="1">
      <w:start w:val="1"/>
      <w:numFmt w:val="lowerLetter"/>
      <w:lvlText w:val="%8."/>
      <w:lvlJc w:val="left"/>
      <w:pPr>
        <w:ind w:left="8062" w:hanging="360"/>
      </w:pPr>
    </w:lvl>
    <w:lvl w:ilvl="8" w:tplc="0809001B" w:tentative="1">
      <w:start w:val="1"/>
      <w:numFmt w:val="lowerRoman"/>
      <w:lvlText w:val="%9."/>
      <w:lvlJc w:val="right"/>
      <w:pPr>
        <w:ind w:left="8782" w:hanging="180"/>
      </w:pPr>
    </w:lvl>
  </w:abstractNum>
  <w:abstractNum w:abstractNumId="2" w15:restartNumberingAfterBreak="0">
    <w:nsid w:val="55D7661B"/>
    <w:multiLevelType w:val="hybridMultilevel"/>
    <w:tmpl w:val="84C4C3F4"/>
    <w:lvl w:ilvl="0" w:tplc="1DCA5808">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 w15:restartNumberingAfterBreak="0">
    <w:nsid w:val="5B3A785D"/>
    <w:multiLevelType w:val="hybridMultilevel"/>
    <w:tmpl w:val="CDDABA12"/>
    <w:lvl w:ilvl="0" w:tplc="08090013">
      <w:start w:val="1"/>
      <w:numFmt w:val="upperRoman"/>
      <w:lvlText w:val="%1."/>
      <w:lvlJc w:val="right"/>
      <w:pPr>
        <w:ind w:left="2302" w:hanging="360"/>
      </w:pPr>
    </w:lvl>
    <w:lvl w:ilvl="1" w:tplc="08090019" w:tentative="1">
      <w:start w:val="1"/>
      <w:numFmt w:val="lowerLetter"/>
      <w:lvlText w:val="%2."/>
      <w:lvlJc w:val="left"/>
      <w:pPr>
        <w:ind w:left="3022" w:hanging="360"/>
      </w:pPr>
    </w:lvl>
    <w:lvl w:ilvl="2" w:tplc="0809001B" w:tentative="1">
      <w:start w:val="1"/>
      <w:numFmt w:val="lowerRoman"/>
      <w:lvlText w:val="%3."/>
      <w:lvlJc w:val="right"/>
      <w:pPr>
        <w:ind w:left="3742" w:hanging="180"/>
      </w:pPr>
    </w:lvl>
    <w:lvl w:ilvl="3" w:tplc="0809000F" w:tentative="1">
      <w:start w:val="1"/>
      <w:numFmt w:val="decimal"/>
      <w:lvlText w:val="%4."/>
      <w:lvlJc w:val="left"/>
      <w:pPr>
        <w:ind w:left="4462" w:hanging="360"/>
      </w:pPr>
    </w:lvl>
    <w:lvl w:ilvl="4" w:tplc="08090019" w:tentative="1">
      <w:start w:val="1"/>
      <w:numFmt w:val="lowerLetter"/>
      <w:lvlText w:val="%5."/>
      <w:lvlJc w:val="left"/>
      <w:pPr>
        <w:ind w:left="5182" w:hanging="360"/>
      </w:pPr>
    </w:lvl>
    <w:lvl w:ilvl="5" w:tplc="0809001B" w:tentative="1">
      <w:start w:val="1"/>
      <w:numFmt w:val="lowerRoman"/>
      <w:lvlText w:val="%6."/>
      <w:lvlJc w:val="right"/>
      <w:pPr>
        <w:ind w:left="5902" w:hanging="180"/>
      </w:pPr>
    </w:lvl>
    <w:lvl w:ilvl="6" w:tplc="0809000F" w:tentative="1">
      <w:start w:val="1"/>
      <w:numFmt w:val="decimal"/>
      <w:lvlText w:val="%7."/>
      <w:lvlJc w:val="left"/>
      <w:pPr>
        <w:ind w:left="6622" w:hanging="360"/>
      </w:pPr>
    </w:lvl>
    <w:lvl w:ilvl="7" w:tplc="08090019" w:tentative="1">
      <w:start w:val="1"/>
      <w:numFmt w:val="lowerLetter"/>
      <w:lvlText w:val="%8."/>
      <w:lvlJc w:val="left"/>
      <w:pPr>
        <w:ind w:left="7342" w:hanging="360"/>
      </w:pPr>
    </w:lvl>
    <w:lvl w:ilvl="8" w:tplc="0809001B" w:tentative="1">
      <w:start w:val="1"/>
      <w:numFmt w:val="lowerRoman"/>
      <w:lvlText w:val="%9."/>
      <w:lvlJc w:val="right"/>
      <w:pPr>
        <w:ind w:left="8062" w:hanging="180"/>
      </w:pPr>
    </w:lvl>
  </w:abstractNum>
  <w:abstractNum w:abstractNumId="4" w15:restartNumberingAfterBreak="0">
    <w:nsid w:val="676F6066"/>
    <w:multiLevelType w:val="hybridMultilevel"/>
    <w:tmpl w:val="5F247252"/>
    <w:lvl w:ilvl="0" w:tplc="808CF46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CA53D5"/>
    <w:multiLevelType w:val="hybridMultilevel"/>
    <w:tmpl w:val="CE44A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2D6CFF"/>
    <w:multiLevelType w:val="hybridMultilevel"/>
    <w:tmpl w:val="CA2CAAE4"/>
    <w:lvl w:ilvl="0" w:tplc="B35431A4">
      <w:start w:val="1"/>
      <w:numFmt w:val="upperRoman"/>
      <w:lvlText w:val="%1."/>
      <w:lvlJc w:val="left"/>
      <w:pPr>
        <w:ind w:left="1582" w:hanging="72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7" w15:restartNumberingAfterBreak="0">
    <w:nsid w:val="77623193"/>
    <w:multiLevelType w:val="hybridMultilevel"/>
    <w:tmpl w:val="67A23F00"/>
    <w:lvl w:ilvl="0" w:tplc="AC304E18">
      <w:start w:val="1"/>
      <w:numFmt w:val="decimal"/>
      <w:lvlText w:val="%1."/>
      <w:lvlJc w:val="left"/>
      <w:pPr>
        <w:ind w:left="218"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8" w15:restartNumberingAfterBreak="0">
    <w:nsid w:val="7EEF71E5"/>
    <w:multiLevelType w:val="hybridMultilevel"/>
    <w:tmpl w:val="4D16D648"/>
    <w:lvl w:ilvl="0" w:tplc="2B9EBAA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070A60"/>
    <w:multiLevelType w:val="hybridMultilevel"/>
    <w:tmpl w:val="907EA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6147711">
    <w:abstractNumId w:val="8"/>
  </w:num>
  <w:num w:numId="2" w16cid:durableId="499778617">
    <w:abstractNumId w:val="4"/>
  </w:num>
  <w:num w:numId="3" w16cid:durableId="1512985981">
    <w:abstractNumId w:val="0"/>
  </w:num>
  <w:num w:numId="4" w16cid:durableId="521937166">
    <w:abstractNumId w:val="6"/>
  </w:num>
  <w:num w:numId="5" w16cid:durableId="1327325315">
    <w:abstractNumId w:val="3"/>
  </w:num>
  <w:num w:numId="6" w16cid:durableId="903374529">
    <w:abstractNumId w:val="1"/>
  </w:num>
  <w:num w:numId="7" w16cid:durableId="1260026895">
    <w:abstractNumId w:val="2"/>
  </w:num>
  <w:num w:numId="8" w16cid:durableId="684864177">
    <w:abstractNumId w:val="9"/>
  </w:num>
  <w:num w:numId="9" w16cid:durableId="824736872">
    <w:abstractNumId w:val="5"/>
  </w:num>
  <w:num w:numId="10" w16cid:durableId="14784478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70"/>
    <w:rsid w:val="00017079"/>
    <w:rsid w:val="000829CB"/>
    <w:rsid w:val="000B6719"/>
    <w:rsid w:val="000C7118"/>
    <w:rsid w:val="000F130C"/>
    <w:rsid w:val="00132113"/>
    <w:rsid w:val="00132D1E"/>
    <w:rsid w:val="001B31F4"/>
    <w:rsid w:val="00223E02"/>
    <w:rsid w:val="00224E7F"/>
    <w:rsid w:val="0025200C"/>
    <w:rsid w:val="002B72F7"/>
    <w:rsid w:val="002C319B"/>
    <w:rsid w:val="003015FB"/>
    <w:rsid w:val="00307BBC"/>
    <w:rsid w:val="00333C9E"/>
    <w:rsid w:val="003C52A0"/>
    <w:rsid w:val="00411527"/>
    <w:rsid w:val="00453A1B"/>
    <w:rsid w:val="004D3E76"/>
    <w:rsid w:val="004D7989"/>
    <w:rsid w:val="004E549F"/>
    <w:rsid w:val="004E7E14"/>
    <w:rsid w:val="0050616F"/>
    <w:rsid w:val="005726D1"/>
    <w:rsid w:val="005979D5"/>
    <w:rsid w:val="005C1638"/>
    <w:rsid w:val="0060588F"/>
    <w:rsid w:val="006877D2"/>
    <w:rsid w:val="006B76A3"/>
    <w:rsid w:val="006D6C08"/>
    <w:rsid w:val="006F585A"/>
    <w:rsid w:val="00785A4F"/>
    <w:rsid w:val="00790489"/>
    <w:rsid w:val="007D71B9"/>
    <w:rsid w:val="00813915"/>
    <w:rsid w:val="00835581"/>
    <w:rsid w:val="00902F99"/>
    <w:rsid w:val="00910A1A"/>
    <w:rsid w:val="0091688D"/>
    <w:rsid w:val="00944565"/>
    <w:rsid w:val="009A7F34"/>
    <w:rsid w:val="00A95070"/>
    <w:rsid w:val="00A9513E"/>
    <w:rsid w:val="00BA202A"/>
    <w:rsid w:val="00BA658C"/>
    <w:rsid w:val="00D3370C"/>
    <w:rsid w:val="00D97A1F"/>
    <w:rsid w:val="00DB6D1E"/>
    <w:rsid w:val="00E110C6"/>
    <w:rsid w:val="00E54093"/>
    <w:rsid w:val="00E61BB3"/>
    <w:rsid w:val="00E71714"/>
    <w:rsid w:val="00E90C05"/>
    <w:rsid w:val="00EA5DD9"/>
    <w:rsid w:val="00F81F5F"/>
    <w:rsid w:val="00FF4A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7A6288"/>
  <w15:chartTrackingRefBased/>
  <w15:docId w15:val="{7FBB304A-71F3-0841-81CA-AAE36138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5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070"/>
    <w:rPr>
      <w:rFonts w:eastAsiaTheme="majorEastAsia" w:cstheme="majorBidi"/>
      <w:color w:val="272727" w:themeColor="text1" w:themeTint="D8"/>
    </w:rPr>
  </w:style>
  <w:style w:type="paragraph" w:styleId="Title">
    <w:name w:val="Title"/>
    <w:basedOn w:val="Normal"/>
    <w:next w:val="Normal"/>
    <w:link w:val="TitleChar"/>
    <w:uiPriority w:val="10"/>
    <w:qFormat/>
    <w:rsid w:val="00A95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070"/>
    <w:pPr>
      <w:spacing w:before="160"/>
      <w:jc w:val="center"/>
    </w:pPr>
    <w:rPr>
      <w:i/>
      <w:iCs/>
      <w:color w:val="404040" w:themeColor="text1" w:themeTint="BF"/>
    </w:rPr>
  </w:style>
  <w:style w:type="character" w:customStyle="1" w:styleId="QuoteChar">
    <w:name w:val="Quote Char"/>
    <w:basedOn w:val="DefaultParagraphFont"/>
    <w:link w:val="Quote"/>
    <w:uiPriority w:val="29"/>
    <w:rsid w:val="00A95070"/>
    <w:rPr>
      <w:i/>
      <w:iCs/>
      <w:color w:val="404040" w:themeColor="text1" w:themeTint="BF"/>
    </w:rPr>
  </w:style>
  <w:style w:type="paragraph" w:styleId="ListParagraph">
    <w:name w:val="List Paragraph"/>
    <w:basedOn w:val="Normal"/>
    <w:uiPriority w:val="34"/>
    <w:qFormat/>
    <w:rsid w:val="00A95070"/>
    <w:pPr>
      <w:ind w:left="720"/>
      <w:contextualSpacing/>
    </w:pPr>
  </w:style>
  <w:style w:type="character" w:styleId="IntenseEmphasis">
    <w:name w:val="Intense Emphasis"/>
    <w:basedOn w:val="DefaultParagraphFont"/>
    <w:uiPriority w:val="21"/>
    <w:qFormat/>
    <w:rsid w:val="00A95070"/>
    <w:rPr>
      <w:i/>
      <w:iCs/>
      <w:color w:val="0F4761" w:themeColor="accent1" w:themeShade="BF"/>
    </w:rPr>
  </w:style>
  <w:style w:type="paragraph" w:styleId="IntenseQuote">
    <w:name w:val="Intense Quote"/>
    <w:basedOn w:val="Normal"/>
    <w:next w:val="Normal"/>
    <w:link w:val="IntenseQuoteChar"/>
    <w:uiPriority w:val="30"/>
    <w:qFormat/>
    <w:rsid w:val="00A95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070"/>
    <w:rPr>
      <w:i/>
      <w:iCs/>
      <w:color w:val="0F4761" w:themeColor="accent1" w:themeShade="BF"/>
    </w:rPr>
  </w:style>
  <w:style w:type="character" w:styleId="IntenseReference">
    <w:name w:val="Intense Reference"/>
    <w:basedOn w:val="DefaultParagraphFont"/>
    <w:uiPriority w:val="32"/>
    <w:qFormat/>
    <w:rsid w:val="00A95070"/>
    <w:rPr>
      <w:b/>
      <w:bCs/>
      <w:smallCaps/>
      <w:color w:val="0F4761" w:themeColor="accent1" w:themeShade="BF"/>
      <w:spacing w:val="5"/>
    </w:rPr>
  </w:style>
  <w:style w:type="paragraph" w:customStyle="1" w:styleId="p1">
    <w:name w:val="p1"/>
    <w:basedOn w:val="Normal"/>
    <w:rsid w:val="00A95070"/>
    <w:pPr>
      <w:spacing w:after="0" w:line="240" w:lineRule="auto"/>
    </w:pPr>
    <w:rPr>
      <w:rFonts w:ascii="Arial" w:eastAsia="Times New Roman" w:hAnsi="Arial" w:cs="Arial"/>
      <w:color w:val="000000"/>
      <w:kern w:val="0"/>
      <w:sz w:val="17"/>
      <w:szCs w:val="17"/>
      <w:lang w:eastAsia="en-GB"/>
      <w14:ligatures w14:val="none"/>
    </w:rPr>
  </w:style>
  <w:style w:type="character" w:customStyle="1" w:styleId="s1">
    <w:name w:val="s1"/>
    <w:basedOn w:val="DefaultParagraphFont"/>
    <w:rsid w:val="00A95070"/>
    <w:rPr>
      <w:rFonts w:ascii="Helvetica" w:hAnsi="Helvetica" w:hint="default"/>
      <w:sz w:val="17"/>
      <w:szCs w:val="17"/>
    </w:rPr>
  </w:style>
  <w:style w:type="paragraph" w:customStyle="1" w:styleId="font-claude-response-body">
    <w:name w:val="font-claude-response-body"/>
    <w:basedOn w:val="Normal"/>
    <w:rsid w:val="0041152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11527"/>
    <w:rPr>
      <w:b/>
      <w:bCs/>
    </w:rPr>
  </w:style>
  <w:style w:type="table" w:styleId="TableGrid">
    <w:name w:val="Table Grid"/>
    <w:basedOn w:val="TableNormal"/>
    <w:uiPriority w:val="39"/>
    <w:rsid w:val="00A95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F130C"/>
    <w:rPr>
      <w:rFonts w:ascii="Courier New" w:eastAsia="Times New Roman" w:hAnsi="Courier New" w:cs="Courier New"/>
      <w:sz w:val="20"/>
      <w:szCs w:val="20"/>
    </w:rPr>
  </w:style>
  <w:style w:type="character" w:customStyle="1" w:styleId="apple-converted-space">
    <w:name w:val="apple-converted-space"/>
    <w:basedOn w:val="DefaultParagraphFont"/>
    <w:rsid w:val="000F130C"/>
  </w:style>
  <w:style w:type="paragraph" w:styleId="NormalWeb">
    <w:name w:val="Normal (Web)"/>
    <w:basedOn w:val="Normal"/>
    <w:uiPriority w:val="99"/>
    <w:unhideWhenUsed/>
    <w:rsid w:val="008355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1688D"/>
    <w:rPr>
      <w:i/>
      <w:iCs/>
    </w:rPr>
  </w:style>
  <w:style w:type="character" w:styleId="Hyperlink">
    <w:name w:val="Hyperlink"/>
    <w:basedOn w:val="DefaultParagraphFont"/>
    <w:uiPriority w:val="99"/>
    <w:unhideWhenUsed/>
    <w:rsid w:val="0091688D"/>
    <w:rPr>
      <w:color w:val="0000FF"/>
      <w:u w:val="single"/>
    </w:rPr>
  </w:style>
  <w:style w:type="character" w:styleId="FollowedHyperlink">
    <w:name w:val="FollowedHyperlink"/>
    <w:basedOn w:val="DefaultParagraphFont"/>
    <w:uiPriority w:val="99"/>
    <w:semiHidden/>
    <w:unhideWhenUsed/>
    <w:rsid w:val="0091688D"/>
    <w:rPr>
      <w:color w:val="96607D" w:themeColor="followedHyperlink"/>
      <w:u w:val="single"/>
    </w:rPr>
  </w:style>
  <w:style w:type="character" w:styleId="UnresolvedMention">
    <w:name w:val="Unresolved Mention"/>
    <w:basedOn w:val="DefaultParagraphFont"/>
    <w:uiPriority w:val="99"/>
    <w:semiHidden/>
    <w:unhideWhenUsed/>
    <w:rsid w:val="00916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7</Pages>
  <Words>2310</Words>
  <Characters>13172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Muthukumaran</dc:creator>
  <cp:keywords/>
  <dc:description/>
  <cp:lastModifiedBy>Shivani Muthukumaran</cp:lastModifiedBy>
  <cp:revision>13</cp:revision>
  <dcterms:created xsi:type="dcterms:W3CDTF">2026-04-27T17:32:00Z</dcterms:created>
  <dcterms:modified xsi:type="dcterms:W3CDTF">2026-05-04T11:12:00Z</dcterms:modified>
</cp:coreProperties>
</file>