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2D3748"/>
          <w:sz w:val="26"/>
        </w:rPr>
        <w:t>SUMMER INTERNSHIP &amp; MINI PROJECT REPORT ON</w:t>
      </w:r>
    </w:p>
    <w:p>
      <w:pPr>
        <w:spacing w:after="80"/>
        <w:jc w:val="center"/>
      </w:pPr>
      <w:r>
        <w:rPr>
          <w:rFonts w:ascii="Times New Roman" w:hAnsi="Times New Roman"/>
          <w:b/>
          <w:color w:val="1A365D"/>
          <w:sz w:val="28"/>
        </w:rPr>
        <w:t>AI IN PROCESS INTELLIGENCE &amp; AUTOMATED BOTTLENECK PREDICTION SYSTEM (PROCESSINTEL-AI)</w:t>
      </w:r>
    </w:p>
    <w:p>
      <w:pPr>
        <w:spacing w:after="40"/>
        <w:jc w:val="center"/>
      </w:pPr>
      <w:r>
        <w:rPr>
          <w:rFonts w:ascii="Times New Roman" w:hAnsi="Times New Roman"/>
          <w:b/>
          <w:color w:val="2D3748"/>
          <w:sz w:val="22"/>
        </w:rPr>
        <w:t>in partial fulfilment for the award of the degree of</w:t>
        <w:br/>
        <w:t>BACHELOR OF TECHNOLOGY</w:t>
        <w:br/>
        <w:t>in</w:t>
        <w:br/>
        <w:t>ARTIFICIAL INTELLIGENCE AND MACHINE LEARNING</w:t>
      </w:r>
    </w:p>
    <w:p>
      <w:pPr>
        <w:spacing w:before="80" w:after="80"/>
        <w:jc w:val="center"/>
      </w:pPr>
      <w:r>
        <w:drawing>
          <wp:inline xmlns:a="http://schemas.openxmlformats.org/drawingml/2006/main" xmlns:pic="http://schemas.openxmlformats.org/drawingml/2006/picture">
            <wp:extent cx="1417320" cy="122214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417320" cy="1222148"/>
                    </a:xfrm>
                    <a:prstGeom prst="rect"/>
                  </pic:spPr>
                </pic:pic>
              </a:graphicData>
            </a:graphic>
          </wp:inline>
        </w:drawing>
      </w:r>
    </w:p>
    <w:p>
      <w:pPr>
        <w:spacing w:after="40"/>
        <w:jc w:val="center"/>
      </w:pPr>
      <w:r>
        <w:rPr>
          <w:rFonts w:ascii="Times New Roman" w:hAnsi="Times New Roman"/>
          <w:color w:val="2D3748"/>
          <w:sz w:val="22"/>
        </w:rPr>
        <w:t>Submitted by</w:t>
        <w:br/>
      </w:r>
      <w:r>
        <w:rPr>
          <w:rFonts w:ascii="Times New Roman" w:hAnsi="Times New Roman"/>
          <w:b/>
          <w:color w:val="1A365D"/>
          <w:sz w:val="24"/>
        </w:rPr>
        <w:t>MALLADI SRINIVAS</w:t>
        <w:br/>
        <w:t>(Regd. No: 236N1A6158)</w:t>
      </w:r>
    </w:p>
    <w:p>
      <w:pPr>
        <w:spacing w:after="80"/>
        <w:jc w:val="center"/>
      </w:pPr>
      <w:r>
        <w:rPr>
          <w:rFonts w:ascii="Times New Roman" w:hAnsi="Times New Roman"/>
          <w:color w:val="2D3748"/>
          <w:sz w:val="22"/>
        </w:rPr>
        <w:t>Under the Guidance of</w:t>
        <w:br/>
      </w:r>
      <w:r>
        <w:rPr>
          <w:rFonts w:ascii="Times New Roman" w:hAnsi="Times New Roman"/>
          <w:b/>
          <w:color w:val="1A365D"/>
          <w:sz w:val="24"/>
        </w:rPr>
        <w:t>Mr. ROHIT, M.Tech</w:t>
        <w:br/>
        <w:t>(Assistant Professor)</w:t>
      </w:r>
    </w:p>
    <w:p>
      <w:pPr>
        <w:spacing w:after="0"/>
        <w:jc w:val="center"/>
      </w:pPr>
      <w:r>
        <w:rPr>
          <w:rFonts w:ascii="Times New Roman" w:hAnsi="Times New Roman"/>
          <w:b/>
          <w:color w:val="1A365D"/>
          <w:sz w:val="23"/>
        </w:rPr>
        <w:t>DEPARTMENT OF ARTIFICIAL INTELLIGENCE AND MACHINE LEARNING</w:t>
        <w:br/>
      </w:r>
      <w:r>
        <w:rPr>
          <w:rFonts w:ascii="Times New Roman" w:hAnsi="Times New Roman"/>
          <w:b w:val="0"/>
          <w:color w:val="2D3748"/>
          <w:sz w:val="20"/>
        </w:rPr>
        <w:t>SRINIVASA INSTITUTE OF ENGINEERING AND TECHNOLOGY</w:t>
        <w:br/>
        <w:t>(UGC – Autonomous Institution)</w:t>
        <w:br/>
        <w:t>Approved by AICTE, New Delhi &amp; Affiliated to JNTUK, Kakinada, Accredited by NAAC with 'A' Grade</w:t>
        <w:br/>
        <w:t>NH-216, Cheyyeru (V), Amalapuram - 533216, Dr. B.R. Ambedkar Konaseema District, A.P.</w:t>
        <w:br/>
        <w:t>(2026 - 2027)</w:t>
      </w:r>
    </w:p>
    <w:p>
      <w:r>
        <w:br w:type="page"/>
      </w:r>
    </w:p>
    <w:p>
      <w:pPr>
        <w:spacing w:after="40"/>
        <w:jc w:val="center"/>
      </w:pPr>
      <w:r>
        <w:rPr>
          <w:rFonts w:ascii="Times New Roman" w:hAnsi="Times New Roman"/>
          <w:b/>
          <w:color w:val="1A365D"/>
          <w:sz w:val="21"/>
        </w:rPr>
        <w:t>SRINIVASA INSTITUTE OF ENGINEERING AND TECHNOLOGY</w:t>
        <w:br/>
        <w:t>(UGC – Autonomous Institution)</w:t>
        <w:br/>
        <w:t>Approved by AICTE, New Delhi &amp; Affiliated to JNTUK, Kakinada, Accredited by NAAC 'A' Grade</w:t>
        <w:br/>
        <w:t>Cheyyeru (V), Amalapuram - 533216, Dr. B.R. Ambedkar Konaseema District</w:t>
        <w:br/>
        <w:t>DEPARTMENT OF ARTIFICIAL INTELLIGENCE AND MACHINE LEARNING</w:t>
        <w:br/>
      </w:r>
    </w:p>
    <w:p>
      <w:pPr>
        <w:spacing w:before="40" w:after="80"/>
        <w:jc w:val="center"/>
      </w:pPr>
      <w:r>
        <w:drawing>
          <wp:inline xmlns:a="http://schemas.openxmlformats.org/drawingml/2006/main" xmlns:pic="http://schemas.openxmlformats.org/drawingml/2006/picture">
            <wp:extent cx="1097280" cy="946179"/>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97280" cy="946179"/>
                    </a:xfrm>
                    <a:prstGeom prst="rect"/>
                  </pic:spPr>
                </pic:pic>
              </a:graphicData>
            </a:graphic>
          </wp:inline>
        </w:drawing>
      </w:r>
    </w:p>
    <w:p>
      <w:pPr>
        <w:spacing w:before="80" w:after="200"/>
        <w:jc w:val="center"/>
      </w:pPr>
      <w:r>
        <w:rPr>
          <w:rFonts w:ascii="Times New Roman" w:hAnsi="Times New Roman"/>
          <w:b/>
          <w:color w:val="1A365D"/>
          <w:sz w:val="30"/>
          <w:u w:val="single"/>
        </w:rPr>
        <w:t>CERTIFICATE</w:t>
      </w:r>
    </w:p>
    <w:p>
      <w:pPr>
        <w:spacing w:after="120" w:line="276" w:lineRule="auto"/>
        <w:jc w:val="both"/>
      </w:pPr>
      <w:r>
        <w:rPr>
          <w:rFonts w:ascii="Times New Roman" w:hAnsi="Times New Roman"/>
          <w:i w:val="0"/>
          <w:color w:val="2D3748"/>
          <w:sz w:val="23"/>
        </w:rPr>
        <w:t>This is to certify that the Summer Internship &amp; Mini Project Report entitled "AI IN PROCESS INTELLIGENCE &amp; AUTOMATED BOTTLENECK PREDICTION SYSTEM (PROCESSINTEL-AI)" carried out under the AICTE-EduSkills Virtual Internship Program supported by Celonis, is submitted by MALLADI SRINIVAS (Regd. No: 236N1A6158), a student of IV B.Tech in the Department of ARTIFICIAL INTELLIGENCE AND MACHINE LEARNING at Srinivasa Institute of Engineering and Technology (Autonomous), Amalapuram. He successfully completed the internship and mini project work in partial fulfilment of the academic requirements for the award of Bachelor of Technology during the academic year 2026–2027.</w:t>
      </w:r>
    </w:p>
    <w:p>
      <w:pPr>
        <w:spacing w:after="56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color w:val="1A365D"/>
                <w:sz w:val="22"/>
              </w:rPr>
              <w:t>Internal Guide</w:t>
            </w:r>
          </w:p>
        </w:tc>
        <w:tc>
          <w:tcPr>
            <w:tcW w:type="dxa" w:w="3120"/>
          </w:tcPr>
          <w:p>
            <w:pPr>
              <w:jc w:val="center"/>
            </w:pPr>
            <w:r>
              <w:rPr>
                <w:rFonts w:ascii="Times New Roman" w:hAnsi="Times New Roman"/>
                <w:b/>
                <w:color w:val="1A365D"/>
                <w:sz w:val="22"/>
              </w:rPr>
              <w:t>Head of Department</w:t>
            </w:r>
          </w:p>
        </w:tc>
        <w:tc>
          <w:tcPr>
            <w:tcW w:type="dxa" w:w="3120"/>
          </w:tcPr>
          <w:p>
            <w:pPr>
              <w:jc w:val="center"/>
            </w:pPr>
            <w:r>
              <w:rPr>
                <w:rFonts w:ascii="Times New Roman" w:hAnsi="Times New Roman"/>
                <w:b/>
                <w:color w:val="1A365D"/>
                <w:sz w:val="22"/>
              </w:rPr>
              <w:t>Principal</w:t>
            </w:r>
          </w:p>
        </w:tc>
      </w:tr>
      <w:tr>
        <w:tc>
          <w:tcPr>
            <w:tcW w:type="dxa" w:w="3120"/>
          </w:tcPr>
          <w:p>
            <w:pPr>
              <w:jc w:val="center"/>
            </w:pPr>
            <w:r>
              <w:rPr>
                <w:rFonts w:ascii="Times New Roman" w:hAnsi="Times New Roman"/>
                <w:color w:val="2D3748"/>
                <w:sz w:val="20"/>
              </w:rPr>
              <w:t>Mr. ROHIT, M.Tech</w:t>
              <w:br/>
              <w:t>Assistant Professor, Dept of AI&amp;ML</w:t>
            </w:r>
          </w:p>
        </w:tc>
        <w:tc>
          <w:tcPr>
            <w:tcW w:type="dxa" w:w="3120"/>
          </w:tcPr>
          <w:p>
            <w:pPr>
              <w:jc w:val="center"/>
            </w:pPr>
            <w:r>
              <w:rPr>
                <w:rFonts w:ascii="Times New Roman" w:hAnsi="Times New Roman"/>
                <w:color w:val="2D3748"/>
                <w:sz w:val="20"/>
              </w:rPr>
              <w:t>Mr. M. R. K. RAJU</w:t>
              <w:br/>
              <w:t>Head of the Department, AI&amp;ML</w:t>
            </w:r>
          </w:p>
        </w:tc>
        <w:tc>
          <w:tcPr>
            <w:tcW w:type="dxa" w:w="3120"/>
          </w:tcPr>
          <w:p>
            <w:pPr>
              <w:jc w:val="center"/>
            </w:pPr>
            <w:r>
              <w:rPr>
                <w:rFonts w:ascii="Times New Roman" w:hAnsi="Times New Roman"/>
                <w:color w:val="2D3748"/>
                <w:sz w:val="20"/>
              </w:rPr>
              <w:t>Dr. B. RATNA RAJ, Ph.D</w:t>
              <w:br/>
              <w:t>Principal, SIET</w:t>
            </w:r>
          </w:p>
        </w:tc>
      </w:tr>
    </w:tbl>
    <w:p>
      <w:pPr>
        <w:spacing w:before="600"/>
        <w:jc w:val="left"/>
      </w:pPr>
      <w:r>
        <w:rPr>
          <w:rFonts w:ascii="Times New Roman" w:hAnsi="Times New Roman"/>
          <w:b/>
          <w:color w:val="2D3748"/>
          <w:sz w:val="22"/>
        </w:rPr>
        <w:t>External Examiner: _______________________</w:t>
      </w:r>
    </w:p>
    <w:p>
      <w:r>
        <w:br w:type="page"/>
      </w:r>
    </w:p>
    <w:p>
      <w:pPr>
        <w:keepNext/>
        <w:spacing w:before="280" w:after="120"/>
        <w:jc w:val="left"/>
      </w:pPr>
      <w:r>
        <w:rPr>
          <w:rFonts w:ascii="Times New Roman" w:hAnsi="Times New Roman"/>
          <w:b/>
          <w:color w:val="1A365D"/>
          <w:sz w:val="30"/>
        </w:rPr>
        <w:t>AICTE-EDUSKILLS VIRTUAL INTERNSHIP CERTIFICATE</w:t>
      </w:r>
    </w:p>
    <w:p>
      <w:pPr>
        <w:spacing w:after="120" w:line="276" w:lineRule="auto"/>
        <w:jc w:val="both"/>
      </w:pPr>
      <w:r>
        <w:rPr>
          <w:rFonts w:ascii="Times New Roman" w:hAnsi="Times New Roman"/>
          <w:i w:val="0"/>
          <w:color w:val="2D3748"/>
          <w:sz w:val="23"/>
        </w:rPr>
        <w:t>This section documents the official Certificate of Virtual Internship awarded by EduSkills and the All India Council for Technical Education (AICTE), Ministry of Education, Government of India, supported by Celonis Global Academic Alliance.</w:t>
      </w:r>
    </w:p>
    <w:p>
      <w:pPr>
        <w:spacing w:before="80" w:after="120"/>
        <w:jc w:val="center"/>
      </w:pPr>
      <w:r>
        <w:drawing>
          <wp:inline xmlns:a="http://schemas.openxmlformats.org/drawingml/2006/main" xmlns:pic="http://schemas.openxmlformats.org/drawingml/2006/picture">
            <wp:extent cx="5120640" cy="7238244"/>
            <wp:docPr id="3" name="Picture 3"/>
            <wp:cNvGraphicFramePr>
              <a:graphicFrameLocks noChangeAspect="1"/>
            </wp:cNvGraphicFramePr>
            <a:graphic>
              <a:graphicData uri="http://schemas.openxmlformats.org/drawingml/2006/picture">
                <pic:pic>
                  <pic:nvPicPr>
                    <pic:cNvPr id="0" name="certificate_internship.png"/>
                    <pic:cNvPicPr/>
                  </pic:nvPicPr>
                  <pic:blipFill>
                    <a:blip r:embed="rId10"/>
                    <a:stretch>
                      <a:fillRect/>
                    </a:stretch>
                  </pic:blipFill>
                  <pic:spPr>
                    <a:xfrm>
                      <a:off x="0" y="0"/>
                      <a:ext cx="5120640" cy="7238244"/>
                    </a:xfrm>
                    <a:prstGeom prst="rect"/>
                  </pic:spPr>
                </pic:pic>
              </a:graphicData>
            </a:graphic>
          </wp:inline>
        </w:drawing>
      </w:r>
    </w:p>
    <w:p>
      <w:pPr>
        <w:spacing w:after="120" w:line="276" w:lineRule="auto"/>
        <w:jc w:val="both"/>
      </w:pPr>
      <w:r>
        <w:rPr>
          <w:rFonts w:ascii="Times New Roman" w:hAnsi="Times New Roman"/>
          <w:b/>
          <w:color w:val="2D3748"/>
          <w:sz w:val="23"/>
        </w:rPr>
        <w:t xml:space="preserve">Certificate Metadata: </w:t>
      </w:r>
      <w:r>
        <w:rPr>
          <w:rFonts w:ascii="Times New Roman" w:hAnsi="Times New Roman"/>
          <w:i w:val="0"/>
          <w:color w:val="2D3748"/>
          <w:sz w:val="23"/>
        </w:rPr>
        <w:t>Credential Verification Details:</w:t>
      </w:r>
    </w:p>
    <w:p>
      <w:pPr>
        <w:pStyle w:val="ListBullet"/>
        <w:spacing w:after="80" w:line="276" w:lineRule="auto"/>
        <w:jc w:val="both"/>
      </w:pPr>
      <w:r>
        <w:rPr>
          <w:rFonts w:ascii="Times New Roman" w:hAnsi="Times New Roman"/>
          <w:b/>
          <w:color w:val="2D3748"/>
          <w:sz w:val="23"/>
        </w:rPr>
        <w:t xml:space="preserve">Certificate ID: </w:t>
      </w:r>
      <w:r>
        <w:rPr>
          <w:rFonts w:ascii="Times New Roman" w:hAnsi="Times New Roman"/>
          <w:color w:val="2D3748"/>
          <w:sz w:val="23"/>
        </w:rPr>
        <w:t>4a03a4b340364d05505e</w:t>
      </w:r>
    </w:p>
    <w:p>
      <w:pPr>
        <w:pStyle w:val="ListBullet"/>
        <w:spacing w:after="80" w:line="276" w:lineRule="auto"/>
        <w:jc w:val="both"/>
      </w:pPr>
      <w:r>
        <w:rPr>
          <w:rFonts w:ascii="Times New Roman" w:hAnsi="Times New Roman"/>
          <w:b/>
          <w:color w:val="2D3748"/>
          <w:sz w:val="23"/>
        </w:rPr>
        <w:t xml:space="preserve">Student ID: </w:t>
      </w:r>
      <w:r>
        <w:rPr>
          <w:rFonts w:ascii="Times New Roman" w:hAnsi="Times New Roman"/>
          <w:color w:val="2D3748"/>
          <w:sz w:val="23"/>
        </w:rPr>
        <w:t>STU681edf36de5a71746853686</w:t>
      </w:r>
    </w:p>
    <w:p>
      <w:pPr>
        <w:pStyle w:val="ListBullet"/>
        <w:spacing w:after="80" w:line="276" w:lineRule="auto"/>
        <w:jc w:val="both"/>
      </w:pPr>
      <w:r>
        <w:rPr>
          <w:rFonts w:ascii="Times New Roman" w:hAnsi="Times New Roman"/>
          <w:b/>
          <w:color w:val="2D3748"/>
          <w:sz w:val="23"/>
        </w:rPr>
        <w:t xml:space="preserve">Performance Grade: </w:t>
      </w:r>
      <w:r>
        <w:rPr>
          <w:rFonts w:ascii="Times New Roman" w:hAnsi="Times New Roman"/>
          <w:color w:val="2D3748"/>
          <w:sz w:val="23"/>
        </w:rPr>
        <w:t>Grade - O (Outstanding: 90–100%)</w:t>
      </w:r>
    </w:p>
    <w:p>
      <w:pPr>
        <w:pStyle w:val="ListBullet"/>
        <w:spacing w:after="80" w:line="276" w:lineRule="auto"/>
        <w:jc w:val="both"/>
      </w:pPr>
      <w:r>
        <w:rPr>
          <w:rFonts w:ascii="Times New Roman" w:hAnsi="Times New Roman"/>
          <w:b/>
          <w:color w:val="2D3748"/>
          <w:sz w:val="23"/>
        </w:rPr>
        <w:t xml:space="preserve">Internship Duration: </w:t>
      </w:r>
      <w:r>
        <w:rPr>
          <w:rFonts w:ascii="Times New Roman" w:hAnsi="Times New Roman"/>
          <w:color w:val="2D3748"/>
          <w:sz w:val="23"/>
        </w:rPr>
        <w:t>8-Weeks (April – June 2026)</w:t>
      </w:r>
    </w:p>
    <w:p>
      <w:pPr>
        <w:pStyle w:val="ListBullet"/>
        <w:spacing w:after="80" w:line="276" w:lineRule="auto"/>
        <w:jc w:val="both"/>
      </w:pPr>
      <w:r>
        <w:rPr>
          <w:rFonts w:ascii="Times New Roman" w:hAnsi="Times New Roman"/>
          <w:b/>
          <w:color w:val="2D3748"/>
          <w:sz w:val="23"/>
        </w:rPr>
        <w:t xml:space="preserve">Specialization Track: </w:t>
      </w:r>
      <w:r>
        <w:rPr>
          <w:rFonts w:ascii="Times New Roman" w:hAnsi="Times New Roman"/>
          <w:color w:val="2D3748"/>
          <w:sz w:val="23"/>
        </w:rPr>
        <w:t>AI In Process Intelligence Virtual Internship (Celonis / AICTE-EduSkills)</w:t>
      </w:r>
    </w:p>
    <w:p>
      <w:r>
        <w:br w:type="page"/>
      </w:r>
    </w:p>
    <w:p>
      <w:pPr>
        <w:keepNext/>
        <w:spacing w:before="280" w:after="120"/>
        <w:jc w:val="left"/>
      </w:pPr>
      <w:r>
        <w:rPr>
          <w:rFonts w:ascii="Times New Roman" w:hAnsi="Times New Roman"/>
          <w:b/>
          <w:color w:val="1A365D"/>
          <w:sz w:val="30"/>
        </w:rPr>
        <w:t>CELONIS ACADEMY PROFESSIONAL CREDENTIALS &amp; BADGES</w:t>
      </w:r>
    </w:p>
    <w:p>
      <w:pPr>
        <w:spacing w:after="120" w:line="276" w:lineRule="auto"/>
        <w:jc w:val="both"/>
      </w:pPr>
      <w:r>
        <w:rPr>
          <w:rFonts w:ascii="Times New Roman" w:hAnsi="Times New Roman"/>
          <w:i w:val="0"/>
          <w:color w:val="2D3748"/>
          <w:sz w:val="23"/>
        </w:rPr>
        <w:t>During the virtual internship, rigorous hands-on training modules and assessments were completed on the Celonis Academy platform, earning globally verified digital credentials via Credly:</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194560" cy="1695796"/>
                  <wp:docPr id="4" name="Picture 4"/>
                  <wp:cNvGraphicFramePr>
                    <a:graphicFrameLocks noChangeAspect="1"/>
                  </wp:cNvGraphicFramePr>
                  <a:graphic>
                    <a:graphicData uri="http://schemas.openxmlformats.org/drawingml/2006/picture">
                      <pic:pic>
                        <pic:nvPicPr>
                          <pic:cNvPr id="0" name="badge_build_action_flows.png"/>
                          <pic:cNvPicPr/>
                        </pic:nvPicPr>
                        <pic:blipFill>
                          <a:blip r:embed="rId11"/>
                          <a:stretch>
                            <a:fillRect/>
                          </a:stretch>
                        </pic:blipFill>
                        <pic:spPr>
                          <a:xfrm>
                            <a:off x="0" y="0"/>
                            <a:ext cx="2194560" cy="1695796"/>
                          </a:xfrm>
                          <a:prstGeom prst="rect"/>
                        </pic:spPr>
                      </pic:pic>
                    </a:graphicData>
                  </a:graphic>
                </wp:inline>
              </w:drawing>
            </w:r>
          </w:p>
        </w:tc>
        <w:tc>
          <w:tcPr>
            <w:tcW w:type="dxa" w:w="4680"/>
          </w:tcPr>
          <w:p>
            <w:pPr>
              <w:jc w:val="left"/>
            </w:pPr>
            <w:r>
              <w:rPr>
                <w:rFonts w:ascii="Times New Roman" w:hAnsi="Times New Roman"/>
                <w:b/>
                <w:color w:val="1A365D"/>
                <w:sz w:val="22"/>
              </w:rPr>
              <w:t>Build Action Flows (Intermediate)</w:t>
              <w:br/>
            </w:r>
            <w:r>
              <w:rPr>
                <w:rFonts w:ascii="Times New Roman" w:hAnsi="Times New Roman"/>
                <w:i/>
                <w:color w:val="2B6CB0"/>
                <w:sz w:val="19"/>
              </w:rPr>
              <w:t>Credly ID: 52564d7a-8a3e-4fc7-9da6-1528540d8f3f</w:t>
              <w:br/>
            </w:r>
            <w:r>
              <w:rPr>
                <w:rFonts w:ascii="Times New Roman" w:hAnsi="Times New Roman"/>
                <w:color w:val="2D3748"/>
                <w:sz w:val="20"/>
              </w:rPr>
              <w:t>Certified expertise in designing automated Action Flows, enterprise webhook integration, and automated event triggers.</w:t>
            </w:r>
          </w:p>
        </w:tc>
      </w:tr>
      <w:tr>
        <w:tc>
          <w:tcPr>
            <w:tcW w:type="dxa" w:w="4680"/>
          </w:tcPr>
          <w:p>
            <w:pPr>
              <w:jc w:val="center"/>
            </w:pPr>
            <w:r>
              <w:drawing>
                <wp:inline xmlns:a="http://schemas.openxmlformats.org/drawingml/2006/main" xmlns:pic="http://schemas.openxmlformats.org/drawingml/2006/picture">
                  <wp:extent cx="2194560" cy="1695796"/>
                  <wp:docPr id="5" name="Picture 5"/>
                  <wp:cNvGraphicFramePr>
                    <a:graphicFrameLocks noChangeAspect="1"/>
                  </wp:cNvGraphicFramePr>
                  <a:graphic>
                    <a:graphicData uri="http://schemas.openxmlformats.org/drawingml/2006/picture">
                      <pic:pic>
                        <pic:nvPicPr>
                          <pic:cNvPr id="0" name="badge_process_automation_basics.png"/>
                          <pic:cNvPicPr/>
                        </pic:nvPicPr>
                        <pic:blipFill>
                          <a:blip r:embed="rId12"/>
                          <a:stretch>
                            <a:fillRect/>
                          </a:stretch>
                        </pic:blipFill>
                        <pic:spPr>
                          <a:xfrm>
                            <a:off x="0" y="0"/>
                            <a:ext cx="2194560" cy="1695796"/>
                          </a:xfrm>
                          <a:prstGeom prst="rect"/>
                        </pic:spPr>
                      </pic:pic>
                    </a:graphicData>
                  </a:graphic>
                </wp:inline>
              </w:drawing>
            </w:r>
          </w:p>
        </w:tc>
        <w:tc>
          <w:tcPr>
            <w:tcW w:type="dxa" w:w="4680"/>
          </w:tcPr>
          <w:p>
            <w:pPr>
              <w:jc w:val="left"/>
            </w:pPr>
            <w:r>
              <w:rPr>
                <w:rFonts w:ascii="Times New Roman" w:hAnsi="Times New Roman"/>
                <w:b/>
                <w:color w:val="1A365D"/>
                <w:sz w:val="22"/>
              </w:rPr>
              <w:t>Process Automation Basics (Foundational)</w:t>
              <w:br/>
            </w:r>
            <w:r>
              <w:rPr>
                <w:rFonts w:ascii="Times New Roman" w:hAnsi="Times New Roman"/>
                <w:i/>
                <w:color w:val="2B6CB0"/>
                <w:sz w:val="19"/>
              </w:rPr>
              <w:t>Credly ID: 96a5f4d0-5700-4a45-8220-29f230cca7ed</w:t>
              <w:br/>
            </w:r>
            <w:r>
              <w:rPr>
                <w:rFonts w:ascii="Times New Roman" w:hAnsi="Times New Roman"/>
                <w:color w:val="2D3748"/>
                <w:sz w:val="20"/>
              </w:rPr>
              <w:t>Mastery of process versus workflow automation, impact evaluation, and enterprise automation candidacy selection.</w:t>
            </w:r>
          </w:p>
        </w:tc>
      </w:tr>
      <w:tr>
        <w:tc>
          <w:tcPr>
            <w:tcW w:type="dxa" w:w="4680"/>
          </w:tcPr>
          <w:p>
            <w:pPr>
              <w:jc w:val="center"/>
            </w:pPr>
            <w:r>
              <w:drawing>
                <wp:inline xmlns:a="http://schemas.openxmlformats.org/drawingml/2006/main" xmlns:pic="http://schemas.openxmlformats.org/drawingml/2006/picture">
                  <wp:extent cx="2194560" cy="1695796"/>
                  <wp:docPr id="6" name="Picture 6"/>
                  <wp:cNvGraphicFramePr>
                    <a:graphicFrameLocks noChangeAspect="1"/>
                  </wp:cNvGraphicFramePr>
                  <a:graphic>
                    <a:graphicData uri="http://schemas.openxmlformats.org/drawingml/2006/picture">
                      <pic:pic>
                        <pic:nvPicPr>
                          <pic:cNvPr id="0" name="badge_process_mining_audit.png"/>
                          <pic:cNvPicPr/>
                        </pic:nvPicPr>
                        <pic:blipFill>
                          <a:blip r:embed="rId13"/>
                          <a:stretch>
                            <a:fillRect/>
                          </a:stretch>
                        </pic:blipFill>
                        <pic:spPr>
                          <a:xfrm>
                            <a:off x="0" y="0"/>
                            <a:ext cx="2194560" cy="1695796"/>
                          </a:xfrm>
                          <a:prstGeom prst="rect"/>
                        </pic:spPr>
                      </pic:pic>
                    </a:graphicData>
                  </a:graphic>
                </wp:inline>
              </w:drawing>
            </w:r>
          </w:p>
        </w:tc>
        <w:tc>
          <w:tcPr>
            <w:tcW w:type="dxa" w:w="4680"/>
          </w:tcPr>
          <w:p>
            <w:pPr>
              <w:jc w:val="left"/>
            </w:pPr>
            <w:r>
              <w:rPr>
                <w:rFonts w:ascii="Times New Roman" w:hAnsi="Times New Roman"/>
                <w:b/>
                <w:color w:val="1A365D"/>
                <w:sz w:val="22"/>
              </w:rPr>
              <w:t>Process Mining Audit Professional (Foundational)</w:t>
              <w:br/>
            </w:r>
            <w:r>
              <w:rPr>
                <w:rFonts w:ascii="Times New Roman" w:hAnsi="Times New Roman"/>
                <w:i/>
                <w:color w:val="2B6CB0"/>
                <w:sz w:val="19"/>
              </w:rPr>
              <w:t>Credly ID: feb37f32-d4fa-4e4b-99f8-0f7209acf737</w:t>
              <w:br/>
            </w:r>
            <w:r>
              <w:rPr>
                <w:rFonts w:ascii="Times New Roman" w:hAnsi="Times New Roman"/>
                <w:color w:val="2D3748"/>
                <w:sz w:val="20"/>
              </w:rPr>
              <w:t>Skills in conformance verification, identifying process non-compliance, and conducting digital process audits.</w:t>
            </w:r>
          </w:p>
        </w:tc>
      </w:tr>
      <w:tr>
        <w:tc>
          <w:tcPr>
            <w:tcW w:type="dxa" w:w="4680"/>
          </w:tcPr>
          <w:p>
            <w:pPr>
              <w:jc w:val="center"/>
            </w:pPr>
            <w:r>
              <w:drawing>
                <wp:inline xmlns:a="http://schemas.openxmlformats.org/drawingml/2006/main" xmlns:pic="http://schemas.openxmlformats.org/drawingml/2006/picture">
                  <wp:extent cx="2194560" cy="1695796"/>
                  <wp:docPr id="7" name="Picture 7"/>
                  <wp:cNvGraphicFramePr>
                    <a:graphicFrameLocks noChangeAspect="1"/>
                  </wp:cNvGraphicFramePr>
                  <a:graphic>
                    <a:graphicData uri="http://schemas.openxmlformats.org/drawingml/2006/picture">
                      <pic:pic>
                        <pic:nvPicPr>
                          <pic:cNvPr id="0" name="badge_write_pql_queries.png"/>
                          <pic:cNvPicPr/>
                        </pic:nvPicPr>
                        <pic:blipFill>
                          <a:blip r:embed="rId14"/>
                          <a:stretch>
                            <a:fillRect/>
                          </a:stretch>
                        </pic:blipFill>
                        <pic:spPr>
                          <a:xfrm>
                            <a:off x="0" y="0"/>
                            <a:ext cx="2194560" cy="1695796"/>
                          </a:xfrm>
                          <a:prstGeom prst="rect"/>
                        </pic:spPr>
                      </pic:pic>
                    </a:graphicData>
                  </a:graphic>
                </wp:inline>
              </w:drawing>
            </w:r>
          </w:p>
        </w:tc>
        <w:tc>
          <w:tcPr>
            <w:tcW w:type="dxa" w:w="4680"/>
          </w:tcPr>
          <w:p>
            <w:pPr>
              <w:jc w:val="left"/>
            </w:pPr>
            <w:r>
              <w:rPr>
                <w:rFonts w:ascii="Times New Roman" w:hAnsi="Times New Roman"/>
                <w:b/>
                <w:color w:val="1A365D"/>
                <w:sz w:val="22"/>
              </w:rPr>
              <w:t>Write PQL Queries (Intermediate)</w:t>
              <w:br/>
            </w:r>
            <w:r>
              <w:rPr>
                <w:rFonts w:ascii="Times New Roman" w:hAnsi="Times New Roman"/>
                <w:i/>
                <w:color w:val="2B6CB0"/>
                <w:sz w:val="19"/>
              </w:rPr>
              <w:t>Credly ID: 2d685676-7913-4050-9679-fed39131fc6a</w:t>
              <w:br/>
            </w:r>
            <w:r>
              <w:rPr>
                <w:rFonts w:ascii="Times New Roman" w:hAnsi="Times New Roman"/>
                <w:color w:val="2D3748"/>
                <w:sz w:val="20"/>
              </w:rPr>
              <w:t>Competence in Celonis Process Query Language (PQL), CALC_THROUGHPUT, PU-aggregations, and custom KPI definition.</w:t>
            </w:r>
          </w:p>
        </w:tc>
      </w:tr>
      <w:tr>
        <w:tc>
          <w:tcPr>
            <w:tcW w:type="dxa" w:w="4680"/>
          </w:tcPr>
          <w:p>
            <w:pPr>
              <w:jc w:val="center"/>
            </w:pPr>
            <w:r>
              <w:drawing>
                <wp:inline xmlns:a="http://schemas.openxmlformats.org/drawingml/2006/main" xmlns:pic="http://schemas.openxmlformats.org/drawingml/2006/picture">
                  <wp:extent cx="2194560" cy="1695796"/>
                  <wp:docPr id="8" name="Picture 8"/>
                  <wp:cNvGraphicFramePr>
                    <a:graphicFrameLocks noChangeAspect="1"/>
                  </wp:cNvGraphicFramePr>
                  <a:graphic>
                    <a:graphicData uri="http://schemas.openxmlformats.org/drawingml/2006/picture">
                      <pic:pic>
                        <pic:nvPicPr>
                          <pic:cNvPr id="0" name="badge_get_data_into_celonis.png"/>
                          <pic:cNvPicPr/>
                        </pic:nvPicPr>
                        <pic:blipFill>
                          <a:blip r:embed="rId15"/>
                          <a:stretch>
                            <a:fillRect/>
                          </a:stretch>
                        </pic:blipFill>
                        <pic:spPr>
                          <a:xfrm>
                            <a:off x="0" y="0"/>
                            <a:ext cx="2194560" cy="1695796"/>
                          </a:xfrm>
                          <a:prstGeom prst="rect"/>
                        </pic:spPr>
                      </pic:pic>
                    </a:graphicData>
                  </a:graphic>
                </wp:inline>
              </w:drawing>
            </w:r>
          </w:p>
        </w:tc>
        <w:tc>
          <w:tcPr>
            <w:tcW w:type="dxa" w:w="4680"/>
          </w:tcPr>
          <w:p>
            <w:pPr>
              <w:jc w:val="left"/>
            </w:pPr>
            <w:r>
              <w:rPr>
                <w:rFonts w:ascii="Times New Roman" w:hAnsi="Times New Roman"/>
                <w:b/>
                <w:color w:val="1A365D"/>
                <w:sz w:val="22"/>
              </w:rPr>
              <w:t>Get Data into Celonis (Intermediate)</w:t>
              <w:br/>
            </w:r>
            <w:r>
              <w:rPr>
                <w:rFonts w:ascii="Times New Roman" w:hAnsi="Times New Roman"/>
                <w:i/>
                <w:color w:val="2B6CB0"/>
                <w:sz w:val="19"/>
              </w:rPr>
              <w:t>Credly ID: dd30427d-e240-40fd-9a4f-c7c677fbfffa</w:t>
              <w:br/>
            </w:r>
            <w:r>
              <w:rPr>
                <w:rFonts w:ascii="Times New Roman" w:hAnsi="Times New Roman"/>
                <w:color w:val="2D3748"/>
                <w:sz w:val="20"/>
              </w:rPr>
              <w:t>Proficiency in enterprise ETL pipelines, event log transformation, data connection, schema modeling, and SQL optimization.</w:t>
            </w:r>
          </w:p>
        </w:tc>
      </w:tr>
    </w:tbl>
    <w:p>
      <w:r>
        <w:br w:type="page"/>
      </w:r>
    </w:p>
    <w:p>
      <w:pPr>
        <w:keepNext/>
        <w:spacing w:before="280" w:after="120"/>
        <w:jc w:val="left"/>
      </w:pPr>
      <w:r>
        <w:rPr>
          <w:rFonts w:ascii="Times New Roman" w:hAnsi="Times New Roman"/>
          <w:b/>
          <w:color w:val="1A365D"/>
          <w:sz w:val="30"/>
        </w:rPr>
        <w:t>ACKNOWLEDGEMENT</w:t>
      </w:r>
    </w:p>
    <w:p>
      <w:pPr>
        <w:spacing w:after="120" w:line="276" w:lineRule="auto"/>
        <w:jc w:val="both"/>
      </w:pPr>
      <w:r>
        <w:rPr>
          <w:rFonts w:ascii="Times New Roman" w:hAnsi="Times New Roman"/>
          <w:i w:val="0"/>
          <w:color w:val="2D3748"/>
          <w:sz w:val="23"/>
        </w:rPr>
        <w:t>I express my sincere gratitude to Dr. B. Ratna Raj, Ph.D, Principal of Srinivasa Institute of Engineering and Technology (Autonomous), for his constant encouragement, visionary leadership, and continuous institutional support throughout my academic journey and internship period.</w:t>
      </w:r>
    </w:p>
    <w:p>
      <w:pPr>
        <w:spacing w:after="120" w:line="276" w:lineRule="auto"/>
        <w:jc w:val="both"/>
      </w:pPr>
      <w:r>
        <w:rPr>
          <w:rFonts w:ascii="Times New Roman" w:hAnsi="Times New Roman"/>
          <w:i w:val="0"/>
          <w:color w:val="2D3748"/>
          <w:sz w:val="23"/>
        </w:rPr>
        <w:t>I am deeply thankful to Mr. M. R. K. Raju, Head of the Department of Artificial Intelligence and Machine Learning, for his valuable guidance, academic motivation, and enthusiastic support throughout the course of my internship and project work.</w:t>
      </w:r>
    </w:p>
    <w:p>
      <w:pPr>
        <w:spacing w:after="120" w:line="276" w:lineRule="auto"/>
        <w:jc w:val="both"/>
      </w:pPr>
      <w:r>
        <w:rPr>
          <w:rFonts w:ascii="Times New Roman" w:hAnsi="Times New Roman"/>
          <w:i w:val="0"/>
          <w:color w:val="2D3748"/>
          <w:sz w:val="23"/>
        </w:rPr>
        <w:t>I would like to extend my heartfelt thanks and deep indebtedness to my project guide and mentor, Mr. Rohit, M.Tech, Assistant Professor, Department of Artificial Intelligence and Machine Learning, for his continuous supervision, insightful suggestions, technical feedback, and encouragement that helped me accomplish this internship project report successfully.</w:t>
      </w:r>
    </w:p>
    <w:p>
      <w:pPr>
        <w:spacing w:after="120" w:line="276" w:lineRule="auto"/>
        <w:jc w:val="both"/>
      </w:pPr>
      <w:r>
        <w:rPr>
          <w:rFonts w:ascii="Times New Roman" w:hAnsi="Times New Roman"/>
          <w:i w:val="0"/>
          <w:color w:val="2D3748"/>
          <w:sz w:val="23"/>
        </w:rPr>
        <w:t>I also express my earnest appreciation to the All India Council for Technical Education (AICTE), EduSkills Foundation, and Celonis Global Academic Alliance for providing this outstanding Virtual Internship Program on AI In Process Intelligence.</w:t>
      </w:r>
    </w:p>
    <w:p>
      <w:pPr>
        <w:spacing w:after="120" w:line="276" w:lineRule="auto"/>
        <w:jc w:val="both"/>
      </w:pPr>
      <w:r>
        <w:rPr>
          <w:rFonts w:ascii="Times New Roman" w:hAnsi="Times New Roman"/>
          <w:i w:val="0"/>
          <w:color w:val="2D3748"/>
          <w:sz w:val="23"/>
        </w:rPr>
        <w:t>Finally, I am profoundly grateful to my parents and friends for their enduring patience, encouragement, and moral support, and to all faculty members of the Department of AI &amp; ML who directly or indirectly aided in the successful completion of this work.</w:t>
      </w:r>
    </w:p>
    <w:p>
      <w:pPr>
        <w:spacing w:before="480"/>
        <w:jc w:val="right"/>
      </w:pPr>
      <w:r>
        <w:rPr>
          <w:rFonts w:ascii="Times New Roman" w:hAnsi="Times New Roman"/>
          <w:b/>
          <w:color w:val="1A365D"/>
          <w:sz w:val="22"/>
        </w:rPr>
        <w:t>MALLADI SRINIVAS</w:t>
        <w:br/>
        <w:t>Regd. No: 236N1A6158</w:t>
        <w:br/>
        <w:t>Dept. of Artificial Intelligence &amp; Machine Learning</w:t>
        <w:br/>
        <w:t>Srinivasa Institute of Engineering and Technology</w:t>
      </w:r>
    </w:p>
    <w:p>
      <w:r>
        <w:br w:type="page"/>
      </w:r>
    </w:p>
    <w:p>
      <w:pPr>
        <w:keepNext/>
        <w:spacing w:before="280" w:after="120"/>
        <w:jc w:val="left"/>
      </w:pPr>
      <w:r>
        <w:rPr>
          <w:rFonts w:ascii="Times New Roman" w:hAnsi="Times New Roman"/>
          <w:b/>
          <w:color w:val="1A365D"/>
          <w:sz w:val="30"/>
        </w:rPr>
        <w:t>INSTITUTIONAL &amp; DEPARTMENTAL FRAMEWORK</w:t>
      </w:r>
    </w:p>
    <w:p>
      <w:pPr>
        <w:keepNext/>
        <w:spacing w:before="200" w:after="80"/>
        <w:jc w:val="left"/>
      </w:pPr>
      <w:r>
        <w:rPr>
          <w:rFonts w:ascii="Times New Roman" w:hAnsi="Times New Roman"/>
          <w:b/>
          <w:color w:val="2B6CB0"/>
          <w:sz w:val="26"/>
        </w:rPr>
        <w:t>Institute Vision &amp; Mission</w:t>
      </w:r>
    </w:p>
    <w:p>
      <w:pPr>
        <w:spacing w:after="120" w:line="276" w:lineRule="auto"/>
        <w:jc w:val="both"/>
      </w:pPr>
      <w:r>
        <w:rPr>
          <w:rFonts w:ascii="Times New Roman" w:hAnsi="Times New Roman"/>
          <w:b/>
          <w:color w:val="2D3748"/>
          <w:sz w:val="23"/>
        </w:rPr>
        <w:t xml:space="preserve">Institute Vision: </w:t>
      </w:r>
      <w:r>
        <w:rPr>
          <w:rFonts w:ascii="Times New Roman" w:hAnsi="Times New Roman"/>
          <w:i w:val="0"/>
          <w:color w:val="2D3748"/>
          <w:sz w:val="23"/>
        </w:rPr>
        <w:t>To develop the institution into a world class destination for technological education and research.</w:t>
      </w:r>
    </w:p>
    <w:p>
      <w:pPr>
        <w:spacing w:after="120" w:line="276" w:lineRule="auto"/>
        <w:jc w:val="both"/>
      </w:pPr>
      <w:r>
        <w:rPr>
          <w:rFonts w:ascii="Times New Roman" w:hAnsi="Times New Roman"/>
          <w:b/>
          <w:color w:val="2D3748"/>
          <w:sz w:val="23"/>
        </w:rPr>
        <w:t xml:space="preserve">Institute Mission: </w:t>
      </w:r>
      <w:r>
        <w:rPr>
          <w:rFonts w:ascii="Times New Roman" w:hAnsi="Times New Roman"/>
          <w:i w:val="0"/>
          <w:color w:val="2D3748"/>
          <w:sz w:val="23"/>
        </w:rPr>
        <w:t>The institution is committed to:</w:t>
      </w:r>
    </w:p>
    <w:p>
      <w:pPr>
        <w:pStyle w:val="ListBullet"/>
        <w:spacing w:after="80" w:line="276" w:lineRule="auto"/>
        <w:jc w:val="both"/>
      </w:pPr>
      <w:r>
        <w:rPr>
          <w:rFonts w:ascii="Times New Roman" w:hAnsi="Times New Roman"/>
          <w:color w:val="2D3748"/>
          <w:sz w:val="23"/>
        </w:rPr>
        <w:t>Imparting high quality, industry-relevant, career-oriented engineering education to rural students to translate our vision into reality.</w:t>
      </w:r>
    </w:p>
    <w:p>
      <w:pPr>
        <w:pStyle w:val="ListBullet"/>
        <w:spacing w:after="80" w:line="276" w:lineRule="auto"/>
        <w:jc w:val="both"/>
      </w:pPr>
      <w:r>
        <w:rPr>
          <w:rFonts w:ascii="Times New Roman" w:hAnsi="Times New Roman"/>
          <w:color w:val="2D3748"/>
          <w:sz w:val="23"/>
        </w:rPr>
        <w:t>Providing state-of-the-art instructional and institutional infrastructure facilities.</w:t>
      </w:r>
    </w:p>
    <w:p>
      <w:pPr>
        <w:pStyle w:val="ListBullet"/>
        <w:spacing w:after="80" w:line="276" w:lineRule="auto"/>
        <w:jc w:val="both"/>
      </w:pPr>
      <w:r>
        <w:rPr>
          <w:rFonts w:ascii="Times New Roman" w:hAnsi="Times New Roman"/>
          <w:color w:val="2D3748"/>
          <w:sz w:val="23"/>
        </w:rPr>
        <w:t>Establishing strategic linkages with leading software industries and research institutions.</w:t>
      </w:r>
    </w:p>
    <w:p>
      <w:pPr>
        <w:pStyle w:val="ListBullet"/>
        <w:spacing w:after="80" w:line="276" w:lineRule="auto"/>
        <w:jc w:val="both"/>
      </w:pPr>
      <w:r>
        <w:rPr>
          <w:rFonts w:ascii="Times New Roman" w:hAnsi="Times New Roman"/>
          <w:color w:val="2D3748"/>
          <w:sz w:val="23"/>
        </w:rPr>
        <w:t>Moulding students to meet contemporary global engineering challenges with ethics, courage, and conviction.</w:t>
      </w:r>
    </w:p>
    <w:p>
      <w:pPr>
        <w:keepNext/>
        <w:spacing w:before="200" w:after="80"/>
        <w:jc w:val="left"/>
      </w:pPr>
      <w:r>
        <w:rPr>
          <w:rFonts w:ascii="Times New Roman" w:hAnsi="Times New Roman"/>
          <w:b/>
          <w:color w:val="2B6CB0"/>
          <w:sz w:val="26"/>
        </w:rPr>
        <w:t>Department of AI &amp; ML Vision &amp; Mission</w:t>
      </w:r>
    </w:p>
    <w:p>
      <w:pPr>
        <w:spacing w:after="120" w:line="276" w:lineRule="auto"/>
        <w:jc w:val="both"/>
      </w:pPr>
      <w:r>
        <w:rPr>
          <w:rFonts w:ascii="Times New Roman" w:hAnsi="Times New Roman"/>
          <w:b/>
          <w:color w:val="2D3748"/>
          <w:sz w:val="23"/>
        </w:rPr>
        <w:t xml:space="preserve">Department Vision: </w:t>
      </w:r>
      <w:r>
        <w:rPr>
          <w:rFonts w:ascii="Times New Roman" w:hAnsi="Times New Roman"/>
          <w:i w:val="0"/>
          <w:color w:val="2D3748"/>
          <w:sz w:val="23"/>
        </w:rPr>
        <w:t>To excel in Artificial Intelligence &amp; Machine Learning education, research, and innovation for societal and industrial impact.</w:t>
      </w:r>
    </w:p>
    <w:p>
      <w:pPr>
        <w:spacing w:after="120" w:line="276" w:lineRule="auto"/>
        <w:jc w:val="both"/>
      </w:pPr>
      <w:r>
        <w:rPr>
          <w:rFonts w:ascii="Times New Roman" w:hAnsi="Times New Roman"/>
          <w:b/>
          <w:color w:val="2D3748"/>
          <w:sz w:val="23"/>
        </w:rPr>
        <w:t xml:space="preserve">Department Mission: </w:t>
      </w:r>
      <w:r>
        <w:rPr>
          <w:rFonts w:ascii="Times New Roman" w:hAnsi="Times New Roman"/>
          <w:i w:val="0"/>
          <w:color w:val="2D3748"/>
          <w:sz w:val="23"/>
        </w:rPr>
        <w:t>The department strives to:</w:t>
      </w:r>
    </w:p>
    <w:p>
      <w:pPr>
        <w:pStyle w:val="ListBullet"/>
        <w:spacing w:after="80" w:line="276" w:lineRule="auto"/>
        <w:jc w:val="both"/>
      </w:pPr>
      <w:r>
        <w:rPr>
          <w:rFonts w:ascii="Times New Roman" w:hAnsi="Times New Roman"/>
          <w:color w:val="2D3748"/>
          <w:sz w:val="23"/>
        </w:rPr>
        <w:t>Offer industry-relevant AI &amp; ML education for career advancement and cutting-edge research.</w:t>
      </w:r>
    </w:p>
    <w:p>
      <w:pPr>
        <w:pStyle w:val="ListBullet"/>
        <w:spacing w:after="80" w:line="276" w:lineRule="auto"/>
        <w:jc w:val="both"/>
      </w:pPr>
      <w:r>
        <w:rPr>
          <w:rFonts w:ascii="Times New Roman" w:hAnsi="Times New Roman"/>
          <w:color w:val="2D3748"/>
          <w:sz w:val="23"/>
        </w:rPr>
        <w:t>Keep the curriculum continuously updated with the latest industry and technology trends.</w:t>
      </w:r>
    </w:p>
    <w:p>
      <w:pPr>
        <w:pStyle w:val="ListBullet"/>
        <w:spacing w:after="80" w:line="276" w:lineRule="auto"/>
        <w:jc w:val="both"/>
      </w:pPr>
      <w:r>
        <w:rPr>
          <w:rFonts w:ascii="Times New Roman" w:hAnsi="Times New Roman"/>
          <w:color w:val="2D3748"/>
          <w:sz w:val="23"/>
        </w:rPr>
        <w:t>Promote applied research to solve real-world problems in key sectors such as healthcare, process automation, energy, and smart cities.</w:t>
      </w:r>
    </w:p>
    <w:p>
      <w:pPr>
        <w:pStyle w:val="ListBullet"/>
        <w:spacing w:after="80" w:line="276" w:lineRule="auto"/>
        <w:jc w:val="both"/>
      </w:pPr>
      <w:r>
        <w:rPr>
          <w:rFonts w:ascii="Times New Roman" w:hAnsi="Times New Roman"/>
          <w:color w:val="2D3748"/>
          <w:sz w:val="23"/>
        </w:rPr>
        <w:t>Build enduring industry partnerships and develop ethically grounded AI professionals.</w:t>
      </w:r>
    </w:p>
    <w:p>
      <w:pPr>
        <w:keepNext/>
        <w:spacing w:before="200" w:after="80"/>
        <w:jc w:val="left"/>
      </w:pPr>
      <w:r>
        <w:rPr>
          <w:rFonts w:ascii="Times New Roman" w:hAnsi="Times New Roman"/>
          <w:b/>
          <w:color w:val="2B6CB0"/>
          <w:sz w:val="26"/>
        </w:rPr>
        <w:t>Program Educational Objectives (PEOs)</w:t>
      </w:r>
    </w:p>
    <w:p>
      <w:pPr>
        <w:pStyle w:val="ListBullet"/>
        <w:spacing w:after="80" w:line="276" w:lineRule="auto"/>
        <w:jc w:val="both"/>
      </w:pPr>
      <w:r>
        <w:rPr>
          <w:rFonts w:ascii="Times New Roman" w:hAnsi="Times New Roman"/>
          <w:b/>
          <w:color w:val="2D3748"/>
          <w:sz w:val="23"/>
        </w:rPr>
        <w:t xml:space="preserve">PEO 1: </w:t>
      </w:r>
      <w:r>
        <w:rPr>
          <w:rFonts w:ascii="Times New Roman" w:hAnsi="Times New Roman"/>
          <w:color w:val="2D3748"/>
          <w:sz w:val="23"/>
        </w:rPr>
        <w:t>Graduates will have successful careers or pursue higher studies in AI &amp; ML by applying fundamental knowledge, industry-relevant technical skills, and problem-solving capabilities.</w:t>
      </w:r>
    </w:p>
    <w:p>
      <w:pPr>
        <w:pStyle w:val="ListBullet"/>
        <w:spacing w:after="80" w:line="276" w:lineRule="auto"/>
        <w:jc w:val="both"/>
      </w:pPr>
      <w:r>
        <w:rPr>
          <w:rFonts w:ascii="Times New Roman" w:hAnsi="Times New Roman"/>
          <w:b/>
          <w:color w:val="2D3748"/>
          <w:sz w:val="23"/>
        </w:rPr>
        <w:t xml:space="preserve">PEO 2: </w:t>
      </w:r>
      <w:r>
        <w:rPr>
          <w:rFonts w:ascii="Times New Roman" w:hAnsi="Times New Roman"/>
          <w:color w:val="2D3748"/>
          <w:sz w:val="23"/>
        </w:rPr>
        <w:t>Graduates will engage in innovative research and projects to address real-world challenges in domains like enterprise process automation, healthcare, agriculture, and intelligent systems.</w:t>
      </w:r>
    </w:p>
    <w:p>
      <w:pPr>
        <w:pStyle w:val="ListBullet"/>
        <w:spacing w:after="80" w:line="276" w:lineRule="auto"/>
        <w:jc w:val="both"/>
      </w:pPr>
      <w:r>
        <w:rPr>
          <w:rFonts w:ascii="Times New Roman" w:hAnsi="Times New Roman"/>
          <w:b/>
          <w:color w:val="2D3748"/>
          <w:sz w:val="23"/>
        </w:rPr>
        <w:t xml:space="preserve">PEO 3: </w:t>
      </w:r>
      <w:r>
        <w:rPr>
          <w:rFonts w:ascii="Times New Roman" w:hAnsi="Times New Roman"/>
          <w:color w:val="2D3748"/>
          <w:sz w:val="23"/>
        </w:rPr>
        <w:t>Graduates will demonstrate professional ethics, effective communication, collaborative teamwork, lifelong learning attitude, and contribute positively to society and industry.</w:t>
      </w:r>
    </w:p>
    <w:p>
      <w:pPr>
        <w:keepNext/>
        <w:spacing w:before="200" w:after="80"/>
        <w:jc w:val="left"/>
      </w:pPr>
      <w:r>
        <w:rPr>
          <w:rFonts w:ascii="Times New Roman" w:hAnsi="Times New Roman"/>
          <w:b/>
          <w:color w:val="2B6CB0"/>
          <w:sz w:val="26"/>
        </w:rPr>
        <w:t>Program Specific Outcomes (PSOs)</w:t>
      </w:r>
    </w:p>
    <w:p>
      <w:pPr>
        <w:pStyle w:val="ListBullet"/>
        <w:spacing w:after="80" w:line="276" w:lineRule="auto"/>
        <w:jc w:val="both"/>
      </w:pPr>
      <w:r>
        <w:rPr>
          <w:rFonts w:ascii="Times New Roman" w:hAnsi="Times New Roman"/>
          <w:b/>
          <w:color w:val="2D3748"/>
          <w:sz w:val="23"/>
        </w:rPr>
        <w:t xml:space="preserve">PSO 1: </w:t>
      </w:r>
      <w:r>
        <w:rPr>
          <w:rFonts w:ascii="Times New Roman" w:hAnsi="Times New Roman"/>
          <w:color w:val="2D3748"/>
          <w:sz w:val="23"/>
        </w:rPr>
        <w:t>Apply advanced Artificial Intelligence, Machine Learning, and Process Mining techniques to develop intelligent solutions for enterprise and societal domains.</w:t>
      </w:r>
    </w:p>
    <w:p>
      <w:pPr>
        <w:pStyle w:val="ListBullet"/>
        <w:spacing w:after="80" w:line="276" w:lineRule="auto"/>
        <w:jc w:val="both"/>
      </w:pPr>
      <w:r>
        <w:rPr>
          <w:rFonts w:ascii="Times New Roman" w:hAnsi="Times New Roman"/>
          <w:b/>
          <w:color w:val="2D3748"/>
          <w:sz w:val="23"/>
        </w:rPr>
        <w:t xml:space="preserve">PSO 2: </w:t>
      </w:r>
      <w:r>
        <w:rPr>
          <w:rFonts w:ascii="Times New Roman" w:hAnsi="Times New Roman"/>
          <w:color w:val="2D3748"/>
          <w:sz w:val="23"/>
        </w:rPr>
        <w:t>Design, implement, and evaluate AI &amp; ML-based systems using modern data tools, cloud analytics, and execution management platforms while adhering to ethical practices and industry standards.</w:t>
      </w:r>
    </w:p>
    <w:p>
      <w:pPr>
        <w:keepNext/>
        <w:spacing w:before="200" w:after="80"/>
        <w:jc w:val="left"/>
      </w:pPr>
      <w:r>
        <w:rPr>
          <w:rFonts w:ascii="Times New Roman" w:hAnsi="Times New Roman"/>
          <w:b/>
          <w:color w:val="2B6CB0"/>
          <w:sz w:val="26"/>
        </w:rPr>
        <w:t>Program Outcomes (POs) Mapping (PO1 to PO12)</w:t>
      </w:r>
    </w:p>
    <w:p>
      <w:pPr>
        <w:pStyle w:val="ListBullet"/>
        <w:spacing w:after="80" w:line="276" w:lineRule="auto"/>
        <w:jc w:val="both"/>
      </w:pPr>
      <w:r>
        <w:rPr>
          <w:rFonts w:ascii="Times New Roman" w:hAnsi="Times New Roman"/>
          <w:b/>
          <w:color w:val="2D3748"/>
          <w:sz w:val="23"/>
        </w:rPr>
        <w:t xml:space="preserve">PO 1: Engineering Knowledge: </w:t>
      </w:r>
      <w:r>
        <w:rPr>
          <w:rFonts w:ascii="Times New Roman" w:hAnsi="Times New Roman"/>
          <w:color w:val="2D3748"/>
          <w:sz w:val="23"/>
        </w:rPr>
        <w:t>Apply knowledge of mathematics, science, engineering fundamentals, and AI/ML specialization to complex engineering problems.</w:t>
      </w:r>
    </w:p>
    <w:p>
      <w:pPr>
        <w:pStyle w:val="ListBullet"/>
        <w:spacing w:after="80" w:line="276" w:lineRule="auto"/>
        <w:jc w:val="both"/>
      </w:pPr>
      <w:r>
        <w:rPr>
          <w:rFonts w:ascii="Times New Roman" w:hAnsi="Times New Roman"/>
          <w:b/>
          <w:color w:val="2D3748"/>
          <w:sz w:val="23"/>
        </w:rPr>
        <w:t xml:space="preserve">PO 2: Problem Analysis: </w:t>
      </w:r>
      <w:r>
        <w:rPr>
          <w:rFonts w:ascii="Times New Roman" w:hAnsi="Times New Roman"/>
          <w:color w:val="2D3748"/>
          <w:sz w:val="23"/>
        </w:rPr>
        <w:t>Identify, formulate, review literature, and analyze complex process bottlenecks and data workflows reaching substantiated conclusions.</w:t>
      </w:r>
    </w:p>
    <w:p>
      <w:pPr>
        <w:pStyle w:val="ListBullet"/>
        <w:spacing w:after="80" w:line="276" w:lineRule="auto"/>
        <w:jc w:val="both"/>
      </w:pPr>
      <w:r>
        <w:rPr>
          <w:rFonts w:ascii="Times New Roman" w:hAnsi="Times New Roman"/>
          <w:b/>
          <w:color w:val="2D3748"/>
          <w:sz w:val="23"/>
        </w:rPr>
        <w:t xml:space="preserve">PO 3: Design/Development of Solutions: </w:t>
      </w:r>
      <w:r>
        <w:rPr>
          <w:rFonts w:ascii="Times New Roman" w:hAnsi="Times New Roman"/>
          <w:color w:val="2D3748"/>
          <w:sz w:val="23"/>
        </w:rPr>
        <w:t>Design solutions for complex process intelligence systems and components meeting specified functional needs.</w:t>
      </w:r>
    </w:p>
    <w:p>
      <w:pPr>
        <w:pStyle w:val="ListBullet"/>
        <w:spacing w:after="80" w:line="276" w:lineRule="auto"/>
        <w:jc w:val="both"/>
      </w:pPr>
      <w:r>
        <w:rPr>
          <w:rFonts w:ascii="Times New Roman" w:hAnsi="Times New Roman"/>
          <w:b/>
          <w:color w:val="2D3748"/>
          <w:sz w:val="23"/>
        </w:rPr>
        <w:t xml:space="preserve">PO 4: Conduct Investigations: </w:t>
      </w:r>
      <w:r>
        <w:rPr>
          <w:rFonts w:ascii="Times New Roman" w:hAnsi="Times New Roman"/>
          <w:color w:val="2D3748"/>
          <w:sz w:val="23"/>
        </w:rPr>
        <w:t>Use research-based knowledge and process discovery methods to extract meaningful patterns from enterprise event logs.</w:t>
      </w:r>
    </w:p>
    <w:p>
      <w:pPr>
        <w:pStyle w:val="ListBullet"/>
        <w:spacing w:after="80" w:line="276" w:lineRule="auto"/>
        <w:jc w:val="both"/>
      </w:pPr>
      <w:r>
        <w:rPr>
          <w:rFonts w:ascii="Times New Roman" w:hAnsi="Times New Roman"/>
          <w:b/>
          <w:color w:val="2D3748"/>
          <w:sz w:val="23"/>
        </w:rPr>
        <w:t xml:space="preserve">PO 5: Modern Tool Usage: </w:t>
      </w:r>
      <w:r>
        <w:rPr>
          <w:rFonts w:ascii="Times New Roman" w:hAnsi="Times New Roman"/>
          <w:color w:val="2D3748"/>
          <w:sz w:val="23"/>
        </w:rPr>
        <w:t>Create, select, and apply modern IT tools including Celonis EMS, PQL, Python, Scikit-Learn, and Action Flows.</w:t>
      </w:r>
    </w:p>
    <w:p>
      <w:pPr>
        <w:pStyle w:val="ListBullet"/>
        <w:spacing w:after="80" w:line="276" w:lineRule="auto"/>
        <w:jc w:val="both"/>
      </w:pPr>
      <w:r>
        <w:rPr>
          <w:rFonts w:ascii="Times New Roman" w:hAnsi="Times New Roman"/>
          <w:b/>
          <w:color w:val="2D3748"/>
          <w:sz w:val="23"/>
        </w:rPr>
        <w:t xml:space="preserve">PO 6: The Engineer &amp; Society: </w:t>
      </w:r>
      <w:r>
        <w:rPr>
          <w:rFonts w:ascii="Times New Roman" w:hAnsi="Times New Roman"/>
          <w:color w:val="2D3748"/>
          <w:sz w:val="23"/>
        </w:rPr>
        <w:t>Apply reasoning to assess operational, business, societal, and management responsibilities relevant to engineering practice.</w:t>
      </w:r>
    </w:p>
    <w:p>
      <w:pPr>
        <w:pStyle w:val="ListBullet"/>
        <w:spacing w:after="80" w:line="276" w:lineRule="auto"/>
        <w:jc w:val="both"/>
      </w:pPr>
      <w:r>
        <w:rPr>
          <w:rFonts w:ascii="Times New Roman" w:hAnsi="Times New Roman"/>
          <w:b/>
          <w:color w:val="2D3748"/>
          <w:sz w:val="23"/>
        </w:rPr>
        <w:t xml:space="preserve">PO 7: Environment &amp; Sustainability: </w:t>
      </w:r>
      <w:r>
        <w:rPr>
          <w:rFonts w:ascii="Times New Roman" w:hAnsi="Times New Roman"/>
          <w:color w:val="2D3748"/>
          <w:sz w:val="23"/>
        </w:rPr>
        <w:t>Understand the impact of digital process optimization on enterprise resource conservation and sustainable operations.</w:t>
      </w:r>
    </w:p>
    <w:p>
      <w:pPr>
        <w:pStyle w:val="ListBullet"/>
        <w:spacing w:after="80" w:line="276" w:lineRule="auto"/>
        <w:jc w:val="both"/>
      </w:pPr>
      <w:r>
        <w:rPr>
          <w:rFonts w:ascii="Times New Roman" w:hAnsi="Times New Roman"/>
          <w:b/>
          <w:color w:val="2D3748"/>
          <w:sz w:val="23"/>
        </w:rPr>
        <w:t xml:space="preserve">PO 8: Ethics: </w:t>
      </w:r>
      <w:r>
        <w:rPr>
          <w:rFonts w:ascii="Times New Roman" w:hAnsi="Times New Roman"/>
          <w:color w:val="2D3748"/>
          <w:sz w:val="23"/>
        </w:rPr>
        <w:t>Apply ethical principles, data governance, privacy compliance, and commit to professional norms of data science practice.</w:t>
      </w:r>
    </w:p>
    <w:p>
      <w:pPr>
        <w:pStyle w:val="ListBullet"/>
        <w:spacing w:after="80" w:line="276" w:lineRule="auto"/>
        <w:jc w:val="both"/>
      </w:pPr>
      <w:r>
        <w:rPr>
          <w:rFonts w:ascii="Times New Roman" w:hAnsi="Times New Roman"/>
          <w:b/>
          <w:color w:val="2D3748"/>
          <w:sz w:val="23"/>
        </w:rPr>
        <w:t xml:space="preserve">PO 9: Individual &amp; Team Work: </w:t>
      </w:r>
      <w:r>
        <w:rPr>
          <w:rFonts w:ascii="Times New Roman" w:hAnsi="Times New Roman"/>
          <w:color w:val="2D3748"/>
          <w:sz w:val="23"/>
        </w:rPr>
        <w:t>Function effectively as an individual contributor and as a team member in diverse technological settings.</w:t>
      </w:r>
    </w:p>
    <w:p>
      <w:pPr>
        <w:pStyle w:val="ListBullet"/>
        <w:spacing w:after="80" w:line="276" w:lineRule="auto"/>
        <w:jc w:val="both"/>
      </w:pPr>
      <w:r>
        <w:rPr>
          <w:rFonts w:ascii="Times New Roman" w:hAnsi="Times New Roman"/>
          <w:b/>
          <w:color w:val="2D3748"/>
          <w:sz w:val="23"/>
        </w:rPr>
        <w:t xml:space="preserve">PO 10: Communication: </w:t>
      </w:r>
      <w:r>
        <w:rPr>
          <w:rFonts w:ascii="Times New Roman" w:hAnsi="Times New Roman"/>
          <w:color w:val="2D3748"/>
          <w:sz w:val="23"/>
        </w:rPr>
        <w:t>Communicate effectively on complex engineering activities through technical reports, dashboards, and structured documentation.</w:t>
      </w:r>
    </w:p>
    <w:p>
      <w:pPr>
        <w:pStyle w:val="ListBullet"/>
        <w:spacing w:after="80" w:line="276" w:lineRule="auto"/>
        <w:jc w:val="both"/>
      </w:pPr>
      <w:r>
        <w:rPr>
          <w:rFonts w:ascii="Times New Roman" w:hAnsi="Times New Roman"/>
          <w:b/>
          <w:color w:val="2D3748"/>
          <w:sz w:val="23"/>
        </w:rPr>
        <w:t xml:space="preserve">PO 11: Project Management &amp; Finance: </w:t>
      </w:r>
      <w:r>
        <w:rPr>
          <w:rFonts w:ascii="Times New Roman" w:hAnsi="Times New Roman"/>
          <w:color w:val="2D3748"/>
          <w:sz w:val="23"/>
        </w:rPr>
        <w:t>Demonstrate knowledge of engineering and management principles to optimize operational lead times and process costs.</w:t>
      </w:r>
    </w:p>
    <w:p>
      <w:pPr>
        <w:pStyle w:val="ListBullet"/>
        <w:spacing w:after="80" w:line="276" w:lineRule="auto"/>
        <w:jc w:val="both"/>
      </w:pPr>
      <w:r>
        <w:rPr>
          <w:rFonts w:ascii="Times New Roman" w:hAnsi="Times New Roman"/>
          <w:b/>
          <w:color w:val="2D3748"/>
          <w:sz w:val="23"/>
        </w:rPr>
        <w:t xml:space="preserve">PO 12: Life-Long Learning: </w:t>
      </w:r>
      <w:r>
        <w:rPr>
          <w:rFonts w:ascii="Times New Roman" w:hAnsi="Times New Roman"/>
          <w:color w:val="2D3748"/>
          <w:sz w:val="23"/>
        </w:rPr>
        <w:t>Recognize the need for and possess the preparation to engage in continuous independent learning in the evolving AI landscape.</w:t>
      </w:r>
    </w:p>
    <w:p>
      <w:r>
        <w:br w:type="page"/>
      </w:r>
    </w:p>
    <w:p>
      <w:pPr>
        <w:keepNext/>
        <w:spacing w:before="280" w:after="120"/>
        <w:jc w:val="left"/>
      </w:pPr>
      <w:r>
        <w:rPr>
          <w:rFonts w:ascii="Times New Roman" w:hAnsi="Times New Roman"/>
          <w:b/>
          <w:color w:val="1A365D"/>
          <w:sz w:val="30"/>
        </w:rPr>
        <w:t>ABSTRACT</w:t>
      </w:r>
    </w:p>
    <w:p>
      <w:pPr>
        <w:spacing w:after="120" w:line="276" w:lineRule="auto"/>
        <w:jc w:val="both"/>
      </w:pPr>
      <w:r>
        <w:rPr>
          <w:rFonts w:ascii="Times New Roman" w:hAnsi="Times New Roman"/>
          <w:i w:val="0"/>
          <w:color w:val="2D3748"/>
          <w:sz w:val="23"/>
        </w:rPr>
        <w:t>The 8-week AI In Process Intelligence Virtual Internship, organized by EduSkills Foundation in collaboration with the All India Council for Technical Education (AICTE), Ministry of Education, and supported by Celonis Global Academic Alliance, provided advanced technical training and hands-on exposure to Process Mining, Execution Management Systems (EMS), and Artificial Intelligence integration.</w:t>
      </w:r>
    </w:p>
    <w:p>
      <w:pPr>
        <w:spacing w:after="120" w:line="276" w:lineRule="auto"/>
        <w:jc w:val="both"/>
      </w:pPr>
      <w:r>
        <w:rPr>
          <w:rFonts w:ascii="Times New Roman" w:hAnsi="Times New Roman"/>
          <w:i w:val="0"/>
          <w:color w:val="2D3748"/>
          <w:sz w:val="23"/>
        </w:rPr>
        <w:t>Modern digital enterprises generate massive volumes of transactional data across Enterprise Resource Planning (ERP), Customer Relationship Management (CRM), and Supply Chain Management (SCM) systems. However, traditional business process management relies on subjective interviews and static workflow diagrams, leading to hidden execution gaps, operational bottlenecks, compliance violations, and severe SLA breaches. Process Intelligence bridges this gap by algorithmically reconstructing actual operational execution directly from digital event logs.</w:t>
      </w:r>
    </w:p>
    <w:p>
      <w:pPr>
        <w:spacing w:after="120" w:line="276" w:lineRule="auto"/>
        <w:jc w:val="both"/>
      </w:pPr>
      <w:r>
        <w:rPr>
          <w:rFonts w:ascii="Times New Roman" w:hAnsi="Times New Roman"/>
          <w:i w:val="0"/>
          <w:color w:val="2D3748"/>
          <w:sz w:val="23"/>
        </w:rPr>
        <w:t>Throughout the internship, comprehensive mastery was achieved in Celonis EMS, enterprise ETL data ingestion, Process Query Language (PQL), Directly-Follows Graph (DFG) discovery, variant frequency analysis, conformance auditing, and Action Flow webhook automation. To synthesize these competencies into a practical capstone contribution, a comprehensive mini-project titled "ProcessIntel-AI: AI-Driven Business Process Intelligence &amp; Automated Bottleneck Prediction System" was conceptualized, implemented, and validated.</w:t>
      </w:r>
    </w:p>
    <w:p>
      <w:pPr>
        <w:spacing w:after="120" w:line="276" w:lineRule="auto"/>
        <w:jc w:val="both"/>
      </w:pPr>
      <w:r>
        <w:rPr>
          <w:rFonts w:ascii="Times New Roman" w:hAnsi="Times New Roman"/>
          <w:i w:val="0"/>
          <w:color w:val="2D3748"/>
          <w:sz w:val="23"/>
        </w:rPr>
        <w:t>The project implements a complete end-to-end pipeline: (1) Ingestion and ETL transformation of enterprise Order-to-Cash (O2C) event logs; (2) Algorithmic discovery of process execution paths and transition lead times; (3) PQL-based calculation of throughput, rework rates, and automation ratios; (4) Machine learning classification (Random Forest &amp; Gradient Boosting) predicting SLA breaches with an ROC-AUC of 0.79–0.96; and (5) Real-time automated mitigation triggering via Celonis Action Flows. The results demonstrate substantial improvements in operational transparency, proactive bottleneck mitigation, and workflow optimization.</w:t>
      </w:r>
    </w:p>
    <w:p>
      <w:r>
        <w:br w:type="page"/>
      </w:r>
    </w:p>
    <w:p>
      <w:pPr>
        <w:keepNext/>
        <w:spacing w:before="280" w:after="120"/>
        <w:jc w:val="left"/>
      </w:pPr>
      <w:r>
        <w:rPr>
          <w:rFonts w:ascii="Times New Roman" w:hAnsi="Times New Roman"/>
          <w:b/>
          <w:color w:val="1A365D"/>
          <w:sz w:val="30"/>
        </w:rPr>
        <w:t>TABLE OF CONTENTS / INDEX</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Pr>
          <w:p>
            <w:pPr>
              <w:jc w:val="center"/>
            </w:pPr>
            <w:r>
              <w:rPr>
                <w:rFonts w:ascii="Times New Roman" w:hAnsi="Times New Roman"/>
                <w:b/>
                <w:color w:val="FFFFFF"/>
                <w:sz w:val="22"/>
              </w:rPr>
              <w:t>S.No.</w:t>
            </w:r>
          </w:p>
        </w:tc>
        <w:tc>
          <w:tcPr>
            <w:tcW w:type="dxa" w:w="2340"/>
            <w:shd w:fill="1A365D"/>
          </w:tcPr>
          <w:p>
            <w:pPr>
              <w:jc w:val="center"/>
            </w:pPr>
            <w:r>
              <w:rPr>
                <w:rFonts w:ascii="Times New Roman" w:hAnsi="Times New Roman"/>
                <w:b/>
                <w:color w:val="FFFFFF"/>
                <w:sz w:val="22"/>
              </w:rPr>
              <w:t>Topic / Chapter Description</w:t>
            </w:r>
          </w:p>
        </w:tc>
        <w:tc>
          <w:tcPr>
            <w:tcW w:type="dxa" w:w="2340"/>
            <w:shd w:fill="1A365D"/>
          </w:tcPr>
          <w:p>
            <w:pPr>
              <w:jc w:val="center"/>
            </w:pPr>
            <w:r>
              <w:rPr>
                <w:rFonts w:ascii="Times New Roman" w:hAnsi="Times New Roman"/>
                <w:b/>
                <w:color w:val="FFFFFF"/>
                <w:sz w:val="22"/>
              </w:rPr>
              <w:t>Mapped POs</w:t>
            </w:r>
          </w:p>
        </w:tc>
        <w:tc>
          <w:tcPr>
            <w:tcW w:type="dxa" w:w="2340"/>
            <w:shd w:fill="1A365D"/>
          </w:tcPr>
          <w:p>
            <w:pPr>
              <w:jc w:val="center"/>
            </w:pPr>
            <w:r>
              <w:rPr>
                <w:rFonts w:ascii="Times New Roman" w:hAnsi="Times New Roman"/>
                <w:b/>
                <w:color w:val="FFFFFF"/>
                <w:sz w:val="22"/>
              </w:rPr>
              <w:t>Page No.</w:t>
            </w:r>
          </w:p>
        </w:tc>
      </w:tr>
      <w:tr>
        <w:tc>
          <w:tcPr>
            <w:tcW w:type="dxa" w:w="2340"/>
            <w:shd w:fill="FFFFFF"/>
          </w:tcPr>
          <w:p>
            <w:pPr>
              <w:jc w:val="center"/>
            </w:pPr>
            <w:r>
              <w:rPr>
                <w:rFonts w:ascii="Times New Roman" w:hAnsi="Times New Roman"/>
                <w:color w:val="2D3748"/>
                <w:sz w:val="20"/>
              </w:rPr>
              <w:t>1</w:t>
            </w:r>
          </w:p>
        </w:tc>
        <w:tc>
          <w:tcPr>
            <w:tcW w:type="dxa" w:w="2340"/>
            <w:shd w:fill="FFFFFF"/>
          </w:tcPr>
          <w:p>
            <w:pPr>
              <w:jc w:val="left"/>
            </w:pPr>
            <w:r>
              <w:rPr>
                <w:rFonts w:ascii="Times New Roman" w:hAnsi="Times New Roman"/>
                <w:color w:val="2D3748"/>
                <w:sz w:val="20"/>
              </w:rPr>
              <w:t>Week 1: Introduction to Process Intelligence, Process Mining &amp; Celonis EMS</w:t>
            </w:r>
          </w:p>
        </w:tc>
        <w:tc>
          <w:tcPr>
            <w:tcW w:type="dxa" w:w="2340"/>
            <w:shd w:fill="FFFFFF"/>
          </w:tcPr>
          <w:p>
            <w:pPr>
              <w:jc w:val="center"/>
            </w:pPr>
            <w:r>
              <w:rPr>
                <w:rFonts w:ascii="Times New Roman" w:hAnsi="Times New Roman"/>
                <w:color w:val="2D3748"/>
                <w:sz w:val="20"/>
              </w:rPr>
              <w:t>PO1, PO5</w:t>
            </w:r>
          </w:p>
        </w:tc>
        <w:tc>
          <w:tcPr>
            <w:tcW w:type="dxa" w:w="2340"/>
            <w:shd w:fill="FFFFFF"/>
          </w:tcPr>
          <w:p>
            <w:pPr>
              <w:jc w:val="center"/>
            </w:pPr>
            <w:r>
              <w:rPr>
                <w:rFonts w:ascii="Times New Roman" w:hAnsi="Times New Roman"/>
                <w:color w:val="2D3748"/>
                <w:sz w:val="20"/>
              </w:rPr>
              <w:t>10</w:t>
            </w:r>
          </w:p>
        </w:tc>
      </w:tr>
      <w:tr>
        <w:tc>
          <w:tcPr>
            <w:tcW w:type="dxa" w:w="2340"/>
            <w:shd w:fill="F8FAFC"/>
          </w:tcPr>
          <w:p>
            <w:pPr>
              <w:jc w:val="center"/>
            </w:pPr>
            <w:r>
              <w:rPr>
                <w:rFonts w:ascii="Times New Roman" w:hAnsi="Times New Roman"/>
                <w:color w:val="2D3748"/>
                <w:sz w:val="20"/>
              </w:rPr>
              <w:t>2</w:t>
            </w:r>
          </w:p>
        </w:tc>
        <w:tc>
          <w:tcPr>
            <w:tcW w:type="dxa" w:w="2340"/>
            <w:shd w:fill="F8FAFC"/>
          </w:tcPr>
          <w:p>
            <w:pPr>
              <w:jc w:val="left"/>
            </w:pPr>
            <w:r>
              <w:rPr>
                <w:rFonts w:ascii="Times New Roman" w:hAnsi="Times New Roman"/>
                <w:color w:val="2D3748"/>
                <w:sz w:val="20"/>
              </w:rPr>
              <w:t>Week 2: Data Extraction &amp; ETL - Getting Enterprise Data into Celonis</w:t>
            </w:r>
          </w:p>
        </w:tc>
        <w:tc>
          <w:tcPr>
            <w:tcW w:type="dxa" w:w="2340"/>
            <w:shd w:fill="F8FAFC"/>
          </w:tcPr>
          <w:p>
            <w:pPr>
              <w:jc w:val="center"/>
            </w:pPr>
            <w:r>
              <w:rPr>
                <w:rFonts w:ascii="Times New Roman" w:hAnsi="Times New Roman"/>
                <w:color w:val="2D3748"/>
                <w:sz w:val="20"/>
              </w:rPr>
              <w:t>PO1, PO5, PO12</w:t>
            </w:r>
          </w:p>
        </w:tc>
        <w:tc>
          <w:tcPr>
            <w:tcW w:type="dxa" w:w="2340"/>
            <w:shd w:fill="F8FAFC"/>
          </w:tcPr>
          <w:p>
            <w:pPr>
              <w:jc w:val="center"/>
            </w:pPr>
            <w:r>
              <w:rPr>
                <w:rFonts w:ascii="Times New Roman" w:hAnsi="Times New Roman"/>
                <w:color w:val="2D3748"/>
                <w:sz w:val="20"/>
              </w:rPr>
              <w:t>11</w:t>
            </w:r>
          </w:p>
        </w:tc>
      </w:tr>
      <w:tr>
        <w:tc>
          <w:tcPr>
            <w:tcW w:type="dxa" w:w="2340"/>
            <w:shd w:fill="FFFFFF"/>
          </w:tcPr>
          <w:p>
            <w:pPr>
              <w:jc w:val="center"/>
            </w:pPr>
            <w:r>
              <w:rPr>
                <w:rFonts w:ascii="Times New Roman" w:hAnsi="Times New Roman"/>
                <w:color w:val="2D3748"/>
                <w:sz w:val="20"/>
              </w:rPr>
              <w:t>3</w:t>
            </w:r>
          </w:p>
        </w:tc>
        <w:tc>
          <w:tcPr>
            <w:tcW w:type="dxa" w:w="2340"/>
            <w:shd w:fill="FFFFFF"/>
          </w:tcPr>
          <w:p>
            <w:pPr>
              <w:jc w:val="left"/>
            </w:pPr>
            <w:r>
              <w:rPr>
                <w:rFonts w:ascii="Times New Roman" w:hAnsi="Times New Roman"/>
                <w:color w:val="2D3748"/>
                <w:sz w:val="20"/>
              </w:rPr>
              <w:t>Week 3: Process Query Language (PQL) &amp; Advanced Analytical Modeling</w:t>
            </w:r>
          </w:p>
        </w:tc>
        <w:tc>
          <w:tcPr>
            <w:tcW w:type="dxa" w:w="2340"/>
            <w:shd w:fill="FFFFFF"/>
          </w:tcPr>
          <w:p>
            <w:pPr>
              <w:jc w:val="center"/>
            </w:pPr>
            <w:r>
              <w:rPr>
                <w:rFonts w:ascii="Times New Roman" w:hAnsi="Times New Roman"/>
                <w:color w:val="2D3748"/>
                <w:sz w:val="20"/>
              </w:rPr>
              <w:t>PO1, PO3, PO5</w:t>
            </w:r>
          </w:p>
        </w:tc>
        <w:tc>
          <w:tcPr>
            <w:tcW w:type="dxa" w:w="2340"/>
            <w:shd w:fill="FFFFFF"/>
          </w:tcPr>
          <w:p>
            <w:pPr>
              <w:jc w:val="center"/>
            </w:pPr>
            <w:r>
              <w:rPr>
                <w:rFonts w:ascii="Times New Roman" w:hAnsi="Times New Roman"/>
                <w:color w:val="2D3748"/>
                <w:sz w:val="20"/>
              </w:rPr>
              <w:t>12</w:t>
            </w:r>
          </w:p>
        </w:tc>
      </w:tr>
      <w:tr>
        <w:tc>
          <w:tcPr>
            <w:tcW w:type="dxa" w:w="2340"/>
            <w:shd w:fill="F8FAFC"/>
          </w:tcPr>
          <w:p>
            <w:pPr>
              <w:jc w:val="center"/>
            </w:pPr>
            <w:r>
              <w:rPr>
                <w:rFonts w:ascii="Times New Roman" w:hAnsi="Times New Roman"/>
                <w:color w:val="2D3748"/>
                <w:sz w:val="20"/>
              </w:rPr>
              <w:t>4</w:t>
            </w:r>
          </w:p>
        </w:tc>
        <w:tc>
          <w:tcPr>
            <w:tcW w:type="dxa" w:w="2340"/>
            <w:shd w:fill="F8FAFC"/>
          </w:tcPr>
          <w:p>
            <w:pPr>
              <w:jc w:val="left"/>
            </w:pPr>
            <w:r>
              <w:rPr>
                <w:rFonts w:ascii="Times New Roman" w:hAnsi="Times New Roman"/>
                <w:color w:val="2D3748"/>
                <w:sz w:val="20"/>
              </w:rPr>
              <w:t>Week 4: Process Discovery, Variant Analysis &amp; Directly-Follows Graphs</w:t>
            </w:r>
          </w:p>
        </w:tc>
        <w:tc>
          <w:tcPr>
            <w:tcW w:type="dxa" w:w="2340"/>
            <w:shd w:fill="F8FAFC"/>
          </w:tcPr>
          <w:p>
            <w:pPr>
              <w:jc w:val="center"/>
            </w:pPr>
            <w:r>
              <w:rPr>
                <w:rFonts w:ascii="Times New Roman" w:hAnsi="Times New Roman"/>
                <w:color w:val="2D3748"/>
                <w:sz w:val="20"/>
              </w:rPr>
              <w:t>PO2, PO3, PO5</w:t>
            </w:r>
          </w:p>
        </w:tc>
        <w:tc>
          <w:tcPr>
            <w:tcW w:type="dxa" w:w="2340"/>
            <w:shd w:fill="F8FAFC"/>
          </w:tcPr>
          <w:p>
            <w:pPr>
              <w:jc w:val="center"/>
            </w:pPr>
            <w:r>
              <w:rPr>
                <w:rFonts w:ascii="Times New Roman" w:hAnsi="Times New Roman"/>
                <w:color w:val="2D3748"/>
                <w:sz w:val="20"/>
              </w:rPr>
              <w:t>13</w:t>
            </w:r>
          </w:p>
        </w:tc>
      </w:tr>
      <w:tr>
        <w:tc>
          <w:tcPr>
            <w:tcW w:type="dxa" w:w="2340"/>
            <w:shd w:fill="FFFFFF"/>
          </w:tcPr>
          <w:p>
            <w:pPr>
              <w:jc w:val="center"/>
            </w:pPr>
            <w:r>
              <w:rPr>
                <w:rFonts w:ascii="Times New Roman" w:hAnsi="Times New Roman"/>
                <w:color w:val="2D3748"/>
                <w:sz w:val="20"/>
              </w:rPr>
              <w:t>5</w:t>
            </w:r>
          </w:p>
        </w:tc>
        <w:tc>
          <w:tcPr>
            <w:tcW w:type="dxa" w:w="2340"/>
            <w:shd w:fill="FFFFFF"/>
          </w:tcPr>
          <w:p>
            <w:pPr>
              <w:jc w:val="left"/>
            </w:pPr>
            <w:r>
              <w:rPr>
                <w:rFonts w:ascii="Times New Roman" w:hAnsi="Times New Roman"/>
                <w:color w:val="2D3748"/>
                <w:sz w:val="20"/>
              </w:rPr>
              <w:t>Week 5: Conformance Checking, Process Deviations &amp; Audit Analytics</w:t>
            </w:r>
          </w:p>
        </w:tc>
        <w:tc>
          <w:tcPr>
            <w:tcW w:type="dxa" w:w="2340"/>
            <w:shd w:fill="FFFFFF"/>
          </w:tcPr>
          <w:p>
            <w:pPr>
              <w:jc w:val="center"/>
            </w:pPr>
            <w:r>
              <w:rPr>
                <w:rFonts w:ascii="Times New Roman" w:hAnsi="Times New Roman"/>
                <w:color w:val="2D3748"/>
                <w:sz w:val="20"/>
              </w:rPr>
              <w:t>PO2, PO4, PO8</w:t>
            </w:r>
          </w:p>
        </w:tc>
        <w:tc>
          <w:tcPr>
            <w:tcW w:type="dxa" w:w="2340"/>
            <w:shd w:fill="FFFFFF"/>
          </w:tcPr>
          <w:p>
            <w:pPr>
              <w:jc w:val="center"/>
            </w:pPr>
            <w:r>
              <w:rPr>
                <w:rFonts w:ascii="Times New Roman" w:hAnsi="Times New Roman"/>
                <w:color w:val="2D3748"/>
                <w:sz w:val="20"/>
              </w:rPr>
              <w:t>14</w:t>
            </w:r>
          </w:p>
        </w:tc>
      </w:tr>
      <w:tr>
        <w:tc>
          <w:tcPr>
            <w:tcW w:type="dxa" w:w="2340"/>
            <w:shd w:fill="F8FAFC"/>
          </w:tcPr>
          <w:p>
            <w:pPr>
              <w:jc w:val="center"/>
            </w:pPr>
            <w:r>
              <w:rPr>
                <w:rFonts w:ascii="Times New Roman" w:hAnsi="Times New Roman"/>
                <w:color w:val="2D3748"/>
                <w:sz w:val="20"/>
              </w:rPr>
              <w:t>6</w:t>
            </w:r>
          </w:p>
        </w:tc>
        <w:tc>
          <w:tcPr>
            <w:tcW w:type="dxa" w:w="2340"/>
            <w:shd w:fill="F8FAFC"/>
          </w:tcPr>
          <w:p>
            <w:pPr>
              <w:jc w:val="left"/>
            </w:pPr>
            <w:r>
              <w:rPr>
                <w:rFonts w:ascii="Times New Roman" w:hAnsi="Times New Roman"/>
                <w:color w:val="2D3748"/>
                <w:sz w:val="20"/>
              </w:rPr>
              <w:t>Week 6: Process Automation Basics &amp; Celonis Action Flows Orchestration</w:t>
            </w:r>
          </w:p>
        </w:tc>
        <w:tc>
          <w:tcPr>
            <w:tcW w:type="dxa" w:w="2340"/>
            <w:shd w:fill="F8FAFC"/>
          </w:tcPr>
          <w:p>
            <w:pPr>
              <w:jc w:val="center"/>
            </w:pPr>
            <w:r>
              <w:rPr>
                <w:rFonts w:ascii="Times New Roman" w:hAnsi="Times New Roman"/>
                <w:color w:val="2D3748"/>
                <w:sz w:val="20"/>
              </w:rPr>
              <w:t>PO3, PO5, PO11</w:t>
            </w:r>
          </w:p>
        </w:tc>
        <w:tc>
          <w:tcPr>
            <w:tcW w:type="dxa" w:w="2340"/>
            <w:shd w:fill="F8FAFC"/>
          </w:tcPr>
          <w:p>
            <w:pPr>
              <w:jc w:val="center"/>
            </w:pPr>
            <w:r>
              <w:rPr>
                <w:rFonts w:ascii="Times New Roman" w:hAnsi="Times New Roman"/>
                <w:color w:val="2D3748"/>
                <w:sz w:val="20"/>
              </w:rPr>
              <w:t>15</w:t>
            </w:r>
          </w:p>
        </w:tc>
      </w:tr>
      <w:tr>
        <w:tc>
          <w:tcPr>
            <w:tcW w:type="dxa" w:w="2340"/>
            <w:shd w:fill="FFFFFF"/>
          </w:tcPr>
          <w:p>
            <w:pPr>
              <w:jc w:val="center"/>
            </w:pPr>
            <w:r>
              <w:rPr>
                <w:rFonts w:ascii="Times New Roman" w:hAnsi="Times New Roman"/>
                <w:color w:val="2D3748"/>
                <w:sz w:val="20"/>
              </w:rPr>
              <w:t>7</w:t>
            </w:r>
          </w:p>
        </w:tc>
        <w:tc>
          <w:tcPr>
            <w:tcW w:type="dxa" w:w="2340"/>
            <w:shd w:fill="FFFFFF"/>
          </w:tcPr>
          <w:p>
            <w:pPr>
              <w:jc w:val="left"/>
            </w:pPr>
            <w:r>
              <w:rPr>
                <w:rFonts w:ascii="Times New Roman" w:hAnsi="Times New Roman"/>
                <w:color w:val="2D3748"/>
                <w:sz w:val="20"/>
              </w:rPr>
              <w:t>Week 7: AI &amp; Machine Learning Integration for Lead-Time &amp; SLA Prediction</w:t>
            </w:r>
          </w:p>
        </w:tc>
        <w:tc>
          <w:tcPr>
            <w:tcW w:type="dxa" w:w="2340"/>
            <w:shd w:fill="FFFFFF"/>
          </w:tcPr>
          <w:p>
            <w:pPr>
              <w:jc w:val="center"/>
            </w:pPr>
            <w:r>
              <w:rPr>
                <w:rFonts w:ascii="Times New Roman" w:hAnsi="Times New Roman"/>
                <w:color w:val="2D3748"/>
                <w:sz w:val="20"/>
              </w:rPr>
              <w:t>PO1, PO2, PO4, PO5</w:t>
            </w:r>
          </w:p>
        </w:tc>
        <w:tc>
          <w:tcPr>
            <w:tcW w:type="dxa" w:w="2340"/>
            <w:shd w:fill="FFFFFF"/>
          </w:tcPr>
          <w:p>
            <w:pPr>
              <w:jc w:val="center"/>
            </w:pPr>
            <w:r>
              <w:rPr>
                <w:rFonts w:ascii="Times New Roman" w:hAnsi="Times New Roman"/>
                <w:color w:val="2D3748"/>
                <w:sz w:val="20"/>
              </w:rPr>
              <w:t>16</w:t>
            </w:r>
          </w:p>
        </w:tc>
      </w:tr>
      <w:tr>
        <w:tc>
          <w:tcPr>
            <w:tcW w:type="dxa" w:w="2340"/>
            <w:shd w:fill="F8FAFC"/>
          </w:tcPr>
          <w:p>
            <w:pPr>
              <w:jc w:val="center"/>
            </w:pPr>
            <w:r>
              <w:rPr>
                <w:rFonts w:ascii="Times New Roman" w:hAnsi="Times New Roman"/>
                <w:color w:val="2D3748"/>
                <w:sz w:val="20"/>
              </w:rPr>
              <w:t>8</w:t>
            </w:r>
          </w:p>
        </w:tc>
        <w:tc>
          <w:tcPr>
            <w:tcW w:type="dxa" w:w="2340"/>
            <w:shd w:fill="F8FAFC"/>
          </w:tcPr>
          <w:p>
            <w:pPr>
              <w:jc w:val="left"/>
            </w:pPr>
            <w:r>
              <w:rPr>
                <w:rFonts w:ascii="Times New Roman" w:hAnsi="Times New Roman"/>
                <w:color w:val="2D3748"/>
                <w:sz w:val="20"/>
              </w:rPr>
              <w:t>Week 8 / Mini Project: ProcessIntel-AI Implementation &amp; Architecture</w:t>
            </w:r>
          </w:p>
        </w:tc>
        <w:tc>
          <w:tcPr>
            <w:tcW w:type="dxa" w:w="2340"/>
            <w:shd w:fill="F8FAFC"/>
          </w:tcPr>
          <w:p>
            <w:pPr>
              <w:jc w:val="center"/>
            </w:pPr>
            <w:r>
              <w:rPr>
                <w:rFonts w:ascii="Times New Roman" w:hAnsi="Times New Roman"/>
                <w:color w:val="2D3748"/>
                <w:sz w:val="20"/>
              </w:rPr>
              <w:t>PO1, PO2, PO3</w:t>
            </w:r>
          </w:p>
        </w:tc>
        <w:tc>
          <w:tcPr>
            <w:tcW w:type="dxa" w:w="2340"/>
            <w:shd w:fill="F8FAFC"/>
          </w:tcPr>
          <w:p>
            <w:pPr>
              <w:jc w:val="center"/>
            </w:pPr>
            <w:r>
              <w:rPr>
                <w:rFonts w:ascii="Times New Roman" w:hAnsi="Times New Roman"/>
                <w:color w:val="2D3748"/>
                <w:sz w:val="20"/>
              </w:rPr>
              <w:t>17</w:t>
            </w:r>
          </w:p>
        </w:tc>
      </w:tr>
      <w:tr>
        <w:tc>
          <w:tcPr>
            <w:tcW w:type="dxa" w:w="2340"/>
            <w:shd w:fill="FFFFFF"/>
          </w:tcPr>
          <w:p>
            <w:pPr>
              <w:jc w:val="center"/>
            </w:pPr>
            <w:r>
              <w:rPr>
                <w:rFonts w:ascii="Times New Roman" w:hAnsi="Times New Roman"/>
                <w:color w:val="2D3748"/>
                <w:sz w:val="20"/>
              </w:rPr>
              <w:t>9</w:t>
            </w:r>
          </w:p>
        </w:tc>
        <w:tc>
          <w:tcPr>
            <w:tcW w:type="dxa" w:w="2340"/>
            <w:shd w:fill="FFFFFF"/>
          </w:tcPr>
          <w:p>
            <w:pPr>
              <w:jc w:val="left"/>
            </w:pPr>
            <w:r>
              <w:rPr>
                <w:rFonts w:ascii="Times New Roman" w:hAnsi="Times New Roman"/>
                <w:color w:val="2D3748"/>
                <w:sz w:val="20"/>
              </w:rPr>
              <w:t>Mini Project: Technical Modules &amp; Full Python Source Code</w:t>
            </w:r>
          </w:p>
        </w:tc>
        <w:tc>
          <w:tcPr>
            <w:tcW w:type="dxa" w:w="2340"/>
            <w:shd w:fill="FFFFFF"/>
          </w:tcPr>
          <w:p>
            <w:pPr>
              <w:jc w:val="center"/>
            </w:pPr>
            <w:r>
              <w:rPr>
                <w:rFonts w:ascii="Times New Roman" w:hAnsi="Times New Roman"/>
                <w:color w:val="2D3748"/>
                <w:sz w:val="20"/>
              </w:rPr>
              <w:t>PO3, PO5, PO9</w:t>
            </w:r>
          </w:p>
        </w:tc>
        <w:tc>
          <w:tcPr>
            <w:tcW w:type="dxa" w:w="2340"/>
            <w:shd w:fill="FFFFFF"/>
          </w:tcPr>
          <w:p>
            <w:pPr>
              <w:jc w:val="center"/>
            </w:pPr>
            <w:r>
              <w:rPr>
                <w:rFonts w:ascii="Times New Roman" w:hAnsi="Times New Roman"/>
                <w:color w:val="2D3748"/>
                <w:sz w:val="20"/>
              </w:rPr>
              <w:t>18-20</w:t>
            </w:r>
          </w:p>
        </w:tc>
      </w:tr>
      <w:tr>
        <w:tc>
          <w:tcPr>
            <w:tcW w:type="dxa" w:w="2340"/>
            <w:shd w:fill="F8FAFC"/>
          </w:tcPr>
          <w:p>
            <w:pPr>
              <w:jc w:val="center"/>
            </w:pPr>
            <w:r>
              <w:rPr>
                <w:rFonts w:ascii="Times New Roman" w:hAnsi="Times New Roman"/>
                <w:color w:val="2D3748"/>
                <w:sz w:val="20"/>
              </w:rPr>
              <w:t>10</w:t>
            </w:r>
          </w:p>
        </w:tc>
        <w:tc>
          <w:tcPr>
            <w:tcW w:type="dxa" w:w="2340"/>
            <w:shd w:fill="F8FAFC"/>
          </w:tcPr>
          <w:p>
            <w:pPr>
              <w:jc w:val="left"/>
            </w:pPr>
            <w:r>
              <w:rPr>
                <w:rFonts w:ascii="Times New Roman" w:hAnsi="Times New Roman"/>
                <w:color w:val="2D3748"/>
                <w:sz w:val="20"/>
              </w:rPr>
              <w:t>Mini Project: Experimental Results, Visualizations &amp; Performance Analysis</w:t>
            </w:r>
          </w:p>
        </w:tc>
        <w:tc>
          <w:tcPr>
            <w:tcW w:type="dxa" w:w="2340"/>
            <w:shd w:fill="F8FAFC"/>
          </w:tcPr>
          <w:p>
            <w:pPr>
              <w:jc w:val="center"/>
            </w:pPr>
            <w:r>
              <w:rPr>
                <w:rFonts w:ascii="Times New Roman" w:hAnsi="Times New Roman"/>
                <w:color w:val="2D3748"/>
                <w:sz w:val="20"/>
              </w:rPr>
              <w:t>PO4, PO5, PO10</w:t>
            </w:r>
          </w:p>
        </w:tc>
        <w:tc>
          <w:tcPr>
            <w:tcW w:type="dxa" w:w="2340"/>
            <w:shd w:fill="F8FAFC"/>
          </w:tcPr>
          <w:p>
            <w:pPr>
              <w:jc w:val="center"/>
            </w:pPr>
            <w:r>
              <w:rPr>
                <w:rFonts w:ascii="Times New Roman" w:hAnsi="Times New Roman"/>
                <w:color w:val="2D3748"/>
                <w:sz w:val="20"/>
              </w:rPr>
              <w:t>21-23</w:t>
            </w:r>
          </w:p>
        </w:tc>
      </w:tr>
      <w:tr>
        <w:tc>
          <w:tcPr>
            <w:tcW w:type="dxa" w:w="2340"/>
            <w:shd w:fill="FFFFFF"/>
          </w:tcPr>
          <w:p>
            <w:pPr>
              <w:jc w:val="center"/>
            </w:pPr>
            <w:r>
              <w:rPr>
                <w:rFonts w:ascii="Times New Roman" w:hAnsi="Times New Roman"/>
                <w:color w:val="2D3748"/>
                <w:sz w:val="20"/>
              </w:rPr>
              <w:t>11</w:t>
            </w:r>
          </w:p>
        </w:tc>
        <w:tc>
          <w:tcPr>
            <w:tcW w:type="dxa" w:w="2340"/>
            <w:shd w:fill="FFFFFF"/>
          </w:tcPr>
          <w:p>
            <w:pPr>
              <w:jc w:val="left"/>
            </w:pPr>
            <w:r>
              <w:rPr>
                <w:rFonts w:ascii="Times New Roman" w:hAnsi="Times New Roman"/>
                <w:color w:val="2D3748"/>
                <w:sz w:val="20"/>
              </w:rPr>
              <w:t>Conclusion &amp; Future Enhancements</w:t>
            </w:r>
          </w:p>
        </w:tc>
        <w:tc>
          <w:tcPr>
            <w:tcW w:type="dxa" w:w="2340"/>
            <w:shd w:fill="FFFFFF"/>
          </w:tcPr>
          <w:p>
            <w:pPr>
              <w:jc w:val="center"/>
            </w:pPr>
            <w:r>
              <w:rPr>
                <w:rFonts w:ascii="Times New Roman" w:hAnsi="Times New Roman"/>
                <w:color w:val="2D3748"/>
                <w:sz w:val="20"/>
              </w:rPr>
              <w:t>PO6, PO7, PO12</w:t>
            </w:r>
          </w:p>
        </w:tc>
        <w:tc>
          <w:tcPr>
            <w:tcW w:type="dxa" w:w="2340"/>
            <w:shd w:fill="FFFFFF"/>
          </w:tcPr>
          <w:p>
            <w:pPr>
              <w:jc w:val="center"/>
            </w:pPr>
            <w:r>
              <w:rPr>
                <w:rFonts w:ascii="Times New Roman" w:hAnsi="Times New Roman"/>
                <w:color w:val="2D3748"/>
                <w:sz w:val="20"/>
              </w:rPr>
              <w:t>24</w:t>
            </w:r>
          </w:p>
        </w:tc>
      </w:tr>
      <w:tr>
        <w:tc>
          <w:tcPr>
            <w:tcW w:type="dxa" w:w="2340"/>
            <w:shd w:fill="F8FAFC"/>
          </w:tcPr>
          <w:p>
            <w:pPr>
              <w:jc w:val="center"/>
            </w:pPr>
            <w:r>
              <w:rPr>
                <w:rFonts w:ascii="Times New Roman" w:hAnsi="Times New Roman"/>
                <w:color w:val="2D3748"/>
                <w:sz w:val="20"/>
              </w:rPr>
              <w:t>12</w:t>
            </w:r>
          </w:p>
        </w:tc>
        <w:tc>
          <w:tcPr>
            <w:tcW w:type="dxa" w:w="2340"/>
            <w:shd w:fill="F8FAFC"/>
          </w:tcPr>
          <w:p>
            <w:pPr>
              <w:jc w:val="left"/>
            </w:pPr>
            <w:r>
              <w:rPr>
                <w:rFonts w:ascii="Times New Roman" w:hAnsi="Times New Roman"/>
                <w:color w:val="2D3748"/>
                <w:sz w:val="20"/>
              </w:rPr>
              <w:t>References &amp; Webliography</w:t>
            </w:r>
          </w:p>
        </w:tc>
        <w:tc>
          <w:tcPr>
            <w:tcW w:type="dxa" w:w="2340"/>
            <w:shd w:fill="F8FAFC"/>
          </w:tcPr>
          <w:p>
            <w:pPr>
              <w:jc w:val="center"/>
            </w:pPr>
            <w:r>
              <w:rPr>
                <w:rFonts w:ascii="Times New Roman" w:hAnsi="Times New Roman"/>
                <w:color w:val="2D3748"/>
                <w:sz w:val="20"/>
              </w:rPr>
              <w:t>PO10, PO12</w:t>
            </w:r>
          </w:p>
        </w:tc>
        <w:tc>
          <w:tcPr>
            <w:tcW w:type="dxa" w:w="2340"/>
            <w:shd w:fill="F8FAFC"/>
          </w:tcPr>
          <w:p>
            <w:pPr>
              <w:jc w:val="center"/>
            </w:pPr>
            <w:r>
              <w:rPr>
                <w:rFonts w:ascii="Times New Roman" w:hAnsi="Times New Roman"/>
                <w:color w:val="2D3748"/>
                <w:sz w:val="20"/>
              </w:rPr>
              <w:t>25</w:t>
            </w:r>
          </w:p>
        </w:tc>
      </w:tr>
    </w:tbl>
    <w:p>
      <w:r>
        <w:br w:type="page"/>
      </w:r>
    </w:p>
    <w:p>
      <w:pPr>
        <w:keepNext/>
        <w:spacing w:before="280" w:after="120"/>
        <w:jc w:val="left"/>
      </w:pPr>
      <w:r>
        <w:rPr>
          <w:rFonts w:ascii="Times New Roman" w:hAnsi="Times New Roman"/>
          <w:b/>
          <w:color w:val="1A365D"/>
          <w:sz w:val="30"/>
        </w:rPr>
        <w:t>WEEK 1: INTRODUCTION TO PROCESS INTELLIGENCE &amp; CELONIS EMS</w:t>
      </w:r>
    </w:p>
    <w:p>
      <w:pPr>
        <w:keepNext/>
        <w:spacing w:before="200" w:after="80"/>
        <w:jc w:val="left"/>
      </w:pPr>
      <w:r>
        <w:rPr>
          <w:rFonts w:ascii="Times New Roman" w:hAnsi="Times New Roman"/>
          <w:b/>
          <w:color w:val="2B6CB0"/>
          <w:sz w:val="26"/>
        </w:rPr>
        <w:t>1.1 Overview &amp; Theoretical Foundations</w:t>
      </w:r>
    </w:p>
    <w:p>
      <w:pPr>
        <w:spacing w:after="120" w:line="276" w:lineRule="auto"/>
        <w:jc w:val="both"/>
      </w:pPr>
      <w:r>
        <w:rPr>
          <w:rFonts w:ascii="Times New Roman" w:hAnsi="Times New Roman"/>
          <w:i w:val="0"/>
          <w:color w:val="2D3748"/>
          <w:sz w:val="23"/>
        </w:rPr>
        <w:t>The initial week of the virtual internship established foundational knowledge of Process Mining, Enterprise Execution Management Systems (EMS), and data-driven business process optimization. In modern enterprise computing, organizational processes span heterogenous software environments including SAP, Salesforce, Oracle, and ServiceNow. Traditional business process management relies on manual workflow mapping, which fails to capture shadow IT operations, dynamic real-world variations, and friction points.</w:t>
      </w:r>
    </w:p>
    <w:p>
      <w:pPr>
        <w:spacing w:after="120" w:line="276" w:lineRule="auto"/>
        <w:jc w:val="both"/>
      </w:pPr>
      <w:r>
        <w:rPr>
          <w:rFonts w:ascii="Times New Roman" w:hAnsi="Times New Roman"/>
          <w:i w:val="0"/>
          <w:color w:val="2D3748"/>
          <w:sz w:val="23"/>
        </w:rPr>
        <w:t>Process Intelligence combines data science, graph theory, and business domain logic to discover, monitor, and improve actual business processes by extracting knowledge from digital event footprints recorded in enterprise information systems.</w:t>
      </w:r>
    </w:p>
    <w:p>
      <w:pPr>
        <w:keepNext/>
        <w:spacing w:before="200" w:after="80"/>
        <w:jc w:val="left"/>
      </w:pPr>
      <w:r>
        <w:rPr>
          <w:rFonts w:ascii="Times New Roman" w:hAnsi="Times New Roman"/>
          <w:b/>
          <w:color w:val="2B6CB0"/>
          <w:sz w:val="26"/>
        </w:rPr>
        <w:t>1.2 Anatomy of an Enterprise Event Log</w:t>
      </w:r>
    </w:p>
    <w:p>
      <w:pPr>
        <w:spacing w:after="120" w:line="276" w:lineRule="auto"/>
        <w:jc w:val="both"/>
      </w:pPr>
      <w:r>
        <w:rPr>
          <w:rFonts w:ascii="Times New Roman" w:hAnsi="Times New Roman"/>
          <w:i w:val="0"/>
          <w:color w:val="2D3748"/>
          <w:sz w:val="23"/>
        </w:rPr>
        <w:t>Every process mining algorithm requires three fundamental attributes within digital event records:</w:t>
      </w:r>
    </w:p>
    <w:p>
      <w:pPr>
        <w:pStyle w:val="ListBullet"/>
        <w:spacing w:after="80" w:line="276" w:lineRule="auto"/>
        <w:jc w:val="both"/>
      </w:pPr>
      <w:r>
        <w:rPr>
          <w:rFonts w:ascii="Times New Roman" w:hAnsi="Times New Roman"/>
          <w:b/>
          <w:color w:val="2D3748"/>
          <w:sz w:val="23"/>
        </w:rPr>
        <w:t xml:space="preserve">1. Case ID: </w:t>
      </w:r>
      <w:r>
        <w:rPr>
          <w:rFonts w:ascii="Times New Roman" w:hAnsi="Times New Roman"/>
          <w:color w:val="2D3748"/>
          <w:sz w:val="23"/>
        </w:rPr>
        <w:t>A distinct identifier representing a single end-to-end process execution instance (e.g., Order ID, Invoice Number, Loan Application ID).</w:t>
      </w:r>
    </w:p>
    <w:p>
      <w:pPr>
        <w:pStyle w:val="ListBullet"/>
        <w:spacing w:after="80" w:line="276" w:lineRule="auto"/>
        <w:jc w:val="both"/>
      </w:pPr>
      <w:r>
        <w:rPr>
          <w:rFonts w:ascii="Times New Roman" w:hAnsi="Times New Roman"/>
          <w:b/>
          <w:color w:val="2D3748"/>
          <w:sz w:val="23"/>
        </w:rPr>
        <w:t xml:space="preserve">2. Activity Name: </w:t>
      </w:r>
      <w:r>
        <w:rPr>
          <w:rFonts w:ascii="Times New Roman" w:hAnsi="Times New Roman"/>
          <w:color w:val="2D3748"/>
          <w:sz w:val="23"/>
        </w:rPr>
        <w:t>The discrete business operation or state transition executed (e.g., 'Order Placed', 'Credit Check Approved', 'Goods Dispatched').</w:t>
      </w:r>
    </w:p>
    <w:p>
      <w:pPr>
        <w:pStyle w:val="ListBullet"/>
        <w:spacing w:after="80" w:line="276" w:lineRule="auto"/>
        <w:jc w:val="both"/>
      </w:pPr>
      <w:r>
        <w:rPr>
          <w:rFonts w:ascii="Times New Roman" w:hAnsi="Times New Roman"/>
          <w:b/>
          <w:color w:val="2D3748"/>
          <w:sz w:val="23"/>
        </w:rPr>
        <w:t xml:space="preserve">3. Timestamp: </w:t>
      </w:r>
      <w:r>
        <w:rPr>
          <w:rFonts w:ascii="Times New Roman" w:hAnsi="Times New Roman"/>
          <w:color w:val="2D3748"/>
          <w:sz w:val="23"/>
        </w:rPr>
        <w:t>The precise temporal record (date and millisecond timestamp) recording when the activity occurred.</w:t>
      </w:r>
    </w:p>
    <w:p>
      <w:pPr>
        <w:pStyle w:val="ListBullet"/>
        <w:spacing w:after="80" w:line="276" w:lineRule="auto"/>
        <w:jc w:val="both"/>
      </w:pPr>
      <w:r>
        <w:rPr>
          <w:rFonts w:ascii="Times New Roman" w:hAnsi="Times New Roman"/>
          <w:b/>
          <w:color w:val="2D3748"/>
          <w:sz w:val="23"/>
        </w:rPr>
        <w:t xml:space="preserve">4. Case Attributes: </w:t>
      </w:r>
      <w:r>
        <w:rPr>
          <w:rFonts w:ascii="Times New Roman" w:hAnsi="Times New Roman"/>
          <w:color w:val="2D3748"/>
          <w:sz w:val="23"/>
        </w:rPr>
        <w:t>Optional contextual dimensions such as Resource/User, Department, Transaction Cost, Region, and Customer Tier.</w:t>
      </w:r>
    </w:p>
    <w:p>
      <w:pPr>
        <w:keepNext/>
        <w:spacing w:before="200" w:after="80"/>
        <w:jc w:val="left"/>
      </w:pPr>
      <w:r>
        <w:rPr>
          <w:rFonts w:ascii="Times New Roman" w:hAnsi="Times New Roman"/>
          <w:b/>
          <w:color w:val="2B6CB0"/>
          <w:sz w:val="26"/>
        </w:rPr>
        <w:t>1.3 Celonis Execution Management System (EMS)</w:t>
      </w:r>
    </w:p>
    <w:p>
      <w:pPr>
        <w:spacing w:after="120" w:line="276" w:lineRule="auto"/>
        <w:jc w:val="both"/>
      </w:pPr>
      <w:r>
        <w:rPr>
          <w:rFonts w:ascii="Times New Roman" w:hAnsi="Times New Roman"/>
          <w:i w:val="0"/>
          <w:color w:val="2D3748"/>
          <w:sz w:val="23"/>
        </w:rPr>
        <w:t>Celonis EMS was introduced as the industry-leading enterprise platform for Process Intelligence. The architecture comprises data connectivity connectors, real-time transformation pipelines, the PQL analytical calculation engine, and the Action Engine for automated trigger dispatches.</w:t>
      </w:r>
    </w:p>
    <w:p>
      <w:pPr>
        <w:keepNext/>
        <w:spacing w:before="200" w:after="80"/>
        <w:jc w:val="left"/>
      </w:pPr>
      <w:r>
        <w:rPr>
          <w:rFonts w:ascii="Times New Roman" w:hAnsi="Times New Roman"/>
          <w:b/>
          <w:color w:val="2B6CB0"/>
          <w:sz w:val="26"/>
        </w:rPr>
        <w:t>1.4 Learning Outcomes (Mapped to PO1, PO5)</w:t>
      </w:r>
    </w:p>
    <w:p>
      <w:pPr>
        <w:pStyle w:val="ListBullet"/>
        <w:spacing w:after="80" w:line="276" w:lineRule="auto"/>
        <w:jc w:val="both"/>
      </w:pPr>
      <w:r>
        <w:rPr>
          <w:rFonts w:ascii="Times New Roman" w:hAnsi="Times New Roman"/>
          <w:color w:val="2D3748"/>
          <w:sz w:val="23"/>
        </w:rPr>
        <w:t>Acquired theoretical understanding of the differences between static workflow modeling and dynamic event-driven process mining.</w:t>
      </w:r>
    </w:p>
    <w:p>
      <w:pPr>
        <w:pStyle w:val="ListBullet"/>
        <w:spacing w:after="80" w:line="276" w:lineRule="auto"/>
        <w:jc w:val="both"/>
      </w:pPr>
      <w:r>
        <w:rPr>
          <w:rFonts w:ascii="Times New Roman" w:hAnsi="Times New Roman"/>
          <w:color w:val="2D3748"/>
          <w:sz w:val="23"/>
        </w:rPr>
        <w:t>Understood the data schema requirements for event log extraction and Celonis EMS workspace configuration.</w:t>
      </w:r>
    </w:p>
    <w:p>
      <w:r>
        <w:br w:type="page"/>
      </w:r>
    </w:p>
    <w:p>
      <w:pPr>
        <w:keepNext/>
        <w:spacing w:before="280" w:after="120"/>
        <w:jc w:val="left"/>
      </w:pPr>
      <w:r>
        <w:rPr>
          <w:rFonts w:ascii="Times New Roman" w:hAnsi="Times New Roman"/>
          <w:b/>
          <w:color w:val="1A365D"/>
          <w:sz w:val="30"/>
        </w:rPr>
        <w:t>WEEK 2: DATA EXTRACTION &amp; ETL - GETTING DATA INTO CELONIS</w:t>
      </w:r>
    </w:p>
    <w:p>
      <w:pPr>
        <w:keepNext/>
        <w:spacing w:before="200" w:after="80"/>
        <w:jc w:val="left"/>
      </w:pPr>
      <w:r>
        <w:rPr>
          <w:rFonts w:ascii="Times New Roman" w:hAnsi="Times New Roman"/>
          <w:b/>
          <w:color w:val="2B6CB0"/>
          <w:sz w:val="26"/>
        </w:rPr>
        <w:t>2.1 Enterprise ETL Architecture in Process Mining</w:t>
      </w:r>
    </w:p>
    <w:p>
      <w:pPr>
        <w:spacing w:after="120" w:line="276" w:lineRule="auto"/>
        <w:jc w:val="both"/>
      </w:pPr>
      <w:r>
        <w:rPr>
          <w:rFonts w:ascii="Times New Roman" w:hAnsi="Times New Roman"/>
          <w:i w:val="0"/>
          <w:color w:val="2D3748"/>
          <w:sz w:val="23"/>
        </w:rPr>
        <w:t>Week 2 focused on the Extract, Transform, and Load (ETL) framework essential for converting raw transactional tables into fully structured event logs. Relational databases store business operations across dozens of normalized tables (header tables, line-item tables, change log tables, and status history tables). These relational tables must be denormalized and flattened into an activity table accompanied by a case table.</w:t>
      </w:r>
    </w:p>
    <w:p>
      <w:pPr>
        <w:keepNext/>
        <w:spacing w:before="200" w:after="80"/>
        <w:jc w:val="left"/>
      </w:pPr>
      <w:r>
        <w:rPr>
          <w:rFonts w:ascii="Times New Roman" w:hAnsi="Times New Roman"/>
          <w:b/>
          <w:color w:val="2B6CB0"/>
          <w:sz w:val="26"/>
        </w:rPr>
        <w:t>2.2 Data Model Construction &amp; Schema Design</w:t>
      </w:r>
    </w:p>
    <w:p>
      <w:pPr>
        <w:spacing w:after="120" w:line="276" w:lineRule="auto"/>
        <w:jc w:val="both"/>
      </w:pPr>
      <w:r>
        <w:rPr>
          <w:rFonts w:ascii="Times New Roman" w:hAnsi="Times New Roman"/>
          <w:i w:val="0"/>
          <w:color w:val="2D3748"/>
          <w:sz w:val="23"/>
        </w:rPr>
        <w:t>The core data modeling paradigm consists of two primary structures:</w:t>
      </w:r>
    </w:p>
    <w:p>
      <w:pPr>
        <w:pStyle w:val="ListBullet"/>
        <w:spacing w:after="80" w:line="276" w:lineRule="auto"/>
        <w:jc w:val="both"/>
      </w:pPr>
      <w:r>
        <w:rPr>
          <w:rFonts w:ascii="Times New Roman" w:hAnsi="Times New Roman"/>
          <w:b/>
          <w:color w:val="2D3748"/>
          <w:sz w:val="23"/>
        </w:rPr>
        <w:t xml:space="preserve">Case Table (_CASE_TABLE): </w:t>
      </w:r>
      <w:r>
        <w:rPr>
          <w:rFonts w:ascii="Times New Roman" w:hAnsi="Times New Roman"/>
          <w:color w:val="2D3748"/>
          <w:sz w:val="23"/>
        </w:rPr>
        <w:t>Contains one unique record per Case ID, storing immutable case-level properties (e.g., Net Order Value, Customer Group, Delivery Country).</w:t>
      </w:r>
    </w:p>
    <w:p>
      <w:pPr>
        <w:pStyle w:val="ListBullet"/>
        <w:spacing w:after="80" w:line="276" w:lineRule="auto"/>
        <w:jc w:val="both"/>
      </w:pPr>
      <w:r>
        <w:rPr>
          <w:rFonts w:ascii="Times New Roman" w:hAnsi="Times New Roman"/>
          <w:b/>
          <w:color w:val="2D3748"/>
          <w:sz w:val="23"/>
        </w:rPr>
        <w:t xml:space="preserve">Activity Table (_ACTIVITY_TABLE): </w:t>
      </w:r>
      <w:r>
        <w:rPr>
          <w:rFonts w:ascii="Times New Roman" w:hAnsi="Times New Roman"/>
          <w:color w:val="2D3748"/>
          <w:sz w:val="23"/>
        </w:rPr>
        <w:t>Contains chronological event records linked to the case table via a foreign-key relationship on Case ID, with activity descriptions, event timestamps, and executing resources.</w:t>
      </w:r>
    </w:p>
    <w:p>
      <w:pPr>
        <w:keepNext/>
        <w:spacing w:before="200" w:after="80"/>
        <w:jc w:val="left"/>
      </w:pPr>
      <w:r>
        <w:rPr>
          <w:rFonts w:ascii="Times New Roman" w:hAnsi="Times New Roman"/>
          <w:b/>
          <w:color w:val="2B6CB0"/>
          <w:sz w:val="26"/>
        </w:rPr>
        <w:t>2.3 SQL Data Transformations &amp; Performance Best Practices</w:t>
      </w:r>
    </w:p>
    <w:p>
      <w:pPr>
        <w:spacing w:after="120" w:line="276" w:lineRule="auto"/>
        <w:jc w:val="both"/>
      </w:pPr>
      <w:r>
        <w:rPr>
          <w:rFonts w:ascii="Times New Roman" w:hAnsi="Times New Roman"/>
          <w:i w:val="0"/>
          <w:color w:val="2D3748"/>
          <w:sz w:val="23"/>
        </w:rPr>
        <w:t>Custom SQL scripts were developed to synthesize activity records from database change logs. For example, UNION ALL operations were used to combine order creation, approval timestamps, and payment dates into a unified temporal log:</w:t>
      </w:r>
    </w:p>
    <w:p>
      <w:pPr>
        <w:spacing w:before="80" w:after="120" w:line="252" w:lineRule="auto"/>
        <w:jc w:val="left"/>
        <w:shd w:fill="F1F5F9"/>
      </w:pPr>
      <w:r>
        <w:rPr>
          <w:rFonts w:ascii="Consolas" w:hAnsi="Consolas"/>
          <w:color w:val="1E293B"/>
          <w:sz w:val="19"/>
        </w:rPr>
        <w:t>-- Extracting unified activity event log from relational ERP schema</w:t>
        <w:br/>
        <w:t>SELECT Order_ID AS "_CASE_KEY", 'Order Received' AS "ACTIVITY", Order_Date AS "EVENTTIME", 'Web_Bot' AS "RESOURCE" FROM Sales_Orders</w:t>
        <w:br/>
        <w:t>UNION ALL</w:t>
        <w:br/>
        <w:t>SELECT Order_ID AS "_CASE_KEY", 'Approval Granted' AS "ACTIVITY", Approval_Date AS "EVENTTIME", Approver_ID AS "RESOURCE" FROM Order_Approvals</w:t>
        <w:br/>
        <w:t>UNION ALL</w:t>
        <w:br/>
        <w:t>SELECT Order_ID AS "_CASE_KEY", 'Invoice Settled' AS "ACTIVITY", Payment_Date AS "EVENTTIME", 'Bank_Gateway' AS "RESOURCE" FROM Invoices;</w:t>
      </w:r>
    </w:p>
    <w:p>
      <w:pPr>
        <w:keepNext/>
        <w:spacing w:before="200" w:after="80"/>
        <w:jc w:val="left"/>
      </w:pPr>
      <w:r>
        <w:rPr>
          <w:rFonts w:ascii="Times New Roman" w:hAnsi="Times New Roman"/>
          <w:b/>
          <w:color w:val="2B6CB0"/>
          <w:sz w:val="26"/>
        </w:rPr>
        <w:t>2.4 Learning Outcomes (Mapped to PO1, PO5, PO12)</w:t>
      </w:r>
    </w:p>
    <w:p>
      <w:pPr>
        <w:pStyle w:val="ListBullet"/>
        <w:spacing w:after="80" w:line="276" w:lineRule="auto"/>
        <w:jc w:val="both"/>
      </w:pPr>
      <w:r>
        <w:rPr>
          <w:rFonts w:ascii="Times New Roman" w:hAnsi="Times New Roman"/>
          <w:color w:val="2D3748"/>
          <w:sz w:val="23"/>
        </w:rPr>
        <w:t>Earned the Celonis Academy Credly Badge: 'Get Data into Celonis' (Intermediate, 13 Hours).</w:t>
      </w:r>
    </w:p>
    <w:p>
      <w:pPr>
        <w:pStyle w:val="ListBullet"/>
        <w:spacing w:after="80" w:line="276" w:lineRule="auto"/>
        <w:jc w:val="both"/>
      </w:pPr>
      <w:r>
        <w:rPr>
          <w:rFonts w:ascii="Times New Roman" w:hAnsi="Times New Roman"/>
          <w:color w:val="2D3748"/>
          <w:sz w:val="23"/>
        </w:rPr>
        <w:t>Mastered relational table flattening, event schema definition, and incremental data load scheduling.</w:t>
      </w:r>
    </w:p>
    <w:p>
      <w:r>
        <w:br w:type="page"/>
      </w:r>
    </w:p>
    <w:p>
      <w:pPr>
        <w:keepNext/>
        <w:spacing w:before="280" w:after="120"/>
        <w:jc w:val="left"/>
      </w:pPr>
      <w:r>
        <w:rPr>
          <w:rFonts w:ascii="Times New Roman" w:hAnsi="Times New Roman"/>
          <w:b/>
          <w:color w:val="1A365D"/>
          <w:sz w:val="30"/>
        </w:rPr>
        <w:t>WEEK 3: PROCESS QUERY LANGUAGE (PQL) &amp; ANALYTICAL MODELING</w:t>
      </w:r>
    </w:p>
    <w:p>
      <w:pPr>
        <w:keepNext/>
        <w:spacing w:before="200" w:after="80"/>
        <w:jc w:val="left"/>
      </w:pPr>
      <w:r>
        <w:rPr>
          <w:rFonts w:ascii="Times New Roman" w:hAnsi="Times New Roman"/>
          <w:b/>
          <w:color w:val="2B6CB0"/>
          <w:sz w:val="26"/>
        </w:rPr>
        <w:t>3.1 Understanding Process Query Language (PQL)</w:t>
      </w:r>
    </w:p>
    <w:p>
      <w:pPr>
        <w:spacing w:after="120" w:line="276" w:lineRule="auto"/>
        <w:jc w:val="both"/>
      </w:pPr>
      <w:r>
        <w:rPr>
          <w:rFonts w:ascii="Times New Roman" w:hAnsi="Times New Roman"/>
          <w:i w:val="0"/>
          <w:color w:val="2D3748"/>
          <w:sz w:val="23"/>
        </w:rPr>
        <w:t>Week 3 was dedicated to mastering Celonis Process Query Language (PQL). PQL is a purpose-built query language engineered specifically to calculate complex graph-based and temporal metrics across billions of event transitions without the overhead of nested SQL joins.</w:t>
      </w:r>
    </w:p>
    <w:p>
      <w:pPr>
        <w:keepNext/>
        <w:spacing w:before="200" w:after="80"/>
        <w:jc w:val="left"/>
      </w:pPr>
      <w:r>
        <w:rPr>
          <w:rFonts w:ascii="Times New Roman" w:hAnsi="Times New Roman"/>
          <w:b/>
          <w:color w:val="2B6CB0"/>
          <w:sz w:val="26"/>
        </w:rPr>
        <w:t>3.2 Core PQL Analytical Functions</w:t>
      </w:r>
    </w:p>
    <w:p>
      <w:pPr>
        <w:spacing w:after="120" w:line="276" w:lineRule="auto"/>
        <w:jc w:val="both"/>
      </w:pPr>
      <w:r>
        <w:rPr>
          <w:rFonts w:ascii="Times New Roman" w:hAnsi="Times New Roman"/>
          <w:i w:val="0"/>
          <w:color w:val="2D3748"/>
          <w:sz w:val="23"/>
        </w:rPr>
        <w:t>PQL provides specialized operators to compute process lead-times, throughput durations, and conditional aggregations:</w:t>
      </w:r>
    </w:p>
    <w:p>
      <w:pPr>
        <w:pStyle w:val="ListBullet"/>
        <w:spacing w:after="80" w:line="276" w:lineRule="auto"/>
        <w:jc w:val="both"/>
      </w:pPr>
      <w:r>
        <w:rPr>
          <w:rFonts w:ascii="Times New Roman" w:hAnsi="Times New Roman"/>
          <w:b/>
          <w:color w:val="2D3748"/>
          <w:sz w:val="23"/>
        </w:rPr>
        <w:t xml:space="preserve">CALC_THROUGHPUT: </w:t>
      </w:r>
      <w:r>
        <w:rPr>
          <w:rFonts w:ascii="Times New Roman" w:hAnsi="Times New Roman"/>
          <w:color w:val="2D3748"/>
          <w:sz w:val="23"/>
        </w:rPr>
        <w:t>Computes the exact duration between the occurrence of two distinct activities across process cases.</w:t>
      </w:r>
    </w:p>
    <w:p>
      <w:pPr>
        <w:pStyle w:val="ListBullet"/>
        <w:spacing w:after="80" w:line="276" w:lineRule="auto"/>
        <w:jc w:val="both"/>
      </w:pPr>
      <w:r>
        <w:rPr>
          <w:rFonts w:ascii="Times New Roman" w:hAnsi="Times New Roman"/>
          <w:b/>
          <w:color w:val="2D3748"/>
          <w:sz w:val="23"/>
        </w:rPr>
        <w:t xml:space="preserve">PU_FUNCTIONS: </w:t>
      </w:r>
      <w:r>
        <w:rPr>
          <w:rFonts w:ascii="Times New Roman" w:hAnsi="Times New Roman"/>
          <w:color w:val="2D3748"/>
          <w:sz w:val="23"/>
        </w:rPr>
        <w:t>Pull-Up functions that aggregate event-level data up to the case level or parent entity level (e.g., `PU_COUNT`, `PU_AVG`, `PU_MAX`).</w:t>
      </w:r>
    </w:p>
    <w:p>
      <w:pPr>
        <w:pStyle w:val="ListBullet"/>
        <w:spacing w:after="80" w:line="276" w:lineRule="auto"/>
        <w:jc w:val="both"/>
      </w:pPr>
      <w:r>
        <w:rPr>
          <w:rFonts w:ascii="Times New Roman" w:hAnsi="Times New Roman"/>
          <w:b/>
          <w:color w:val="2D3748"/>
          <w:sz w:val="23"/>
        </w:rPr>
        <w:t xml:space="preserve">REWORK / ACTIVITY_COUNT: </w:t>
      </w:r>
      <w:r>
        <w:rPr>
          <w:rFonts w:ascii="Times New Roman" w:hAnsi="Times New Roman"/>
          <w:color w:val="2D3748"/>
          <w:sz w:val="23"/>
        </w:rPr>
        <w:t>Identifies cases containing repeated execution of identical activities, highlighting operational rework.</w:t>
      </w:r>
    </w:p>
    <w:p>
      <w:pPr>
        <w:spacing w:before="80" w:after="120" w:line="252" w:lineRule="auto"/>
        <w:jc w:val="left"/>
        <w:shd w:fill="F1F5F9"/>
      </w:pPr>
      <w:r>
        <w:rPr>
          <w:rFonts w:ascii="Consolas" w:hAnsi="Consolas"/>
          <w:color w:val="1E293B"/>
          <w:sz w:val="19"/>
        </w:rPr>
        <w:t>// Celonis PQL Example: Calculating Average Cycle Time between Order Approval and Dispatch</w:t>
        <w:br/>
        <w:t>AVG(</w:t>
        <w:br/>
        <w:t xml:space="preserve">    CALC_THROUGHPUT(</w:t>
        <w:br/>
        <w:t xml:space="preserve">        FIRST_OCCURRENCE['Order Approved'] TO LAST_OCCURRENCE['Package &amp; Dispatch'],</w:t>
        <w:br/>
        <w:t xml:space="preserve">        DAYS</w:t>
        <w:br/>
        <w:t xml:space="preserve">    )</w:t>
        <w:br/>
        <w:t>);</w:t>
        <w:br/>
        <w:br/>
        <w:t>// PQL Filter for SLA Violations (Cases taking over 7 days to settle payment)</w:t>
        <w:br/>
        <w:t>FILTER CALC_THROUGHPUT(ALL_OCCURRENCE['Order Received'] TO ALL_OCCURRENCE['Payment Settled'], DAYS) &gt; 7.0;</w:t>
      </w:r>
    </w:p>
    <w:p>
      <w:pPr>
        <w:keepNext/>
        <w:spacing w:before="200" w:after="80"/>
        <w:jc w:val="left"/>
      </w:pPr>
      <w:r>
        <w:rPr>
          <w:rFonts w:ascii="Times New Roman" w:hAnsi="Times New Roman"/>
          <w:b/>
          <w:color w:val="2B6CB0"/>
          <w:sz w:val="26"/>
        </w:rPr>
        <w:t>3.3 Learning Outcomes (Mapped to PO1, PO3, PO5)</w:t>
      </w:r>
    </w:p>
    <w:p>
      <w:pPr>
        <w:pStyle w:val="ListBullet"/>
        <w:spacing w:after="80" w:line="276" w:lineRule="auto"/>
        <w:jc w:val="both"/>
      </w:pPr>
      <w:r>
        <w:rPr>
          <w:rFonts w:ascii="Times New Roman" w:hAnsi="Times New Roman"/>
          <w:color w:val="2D3748"/>
          <w:sz w:val="23"/>
        </w:rPr>
        <w:t>Earned the Celonis Academy Credly Badge: 'Write PQL Queries' (Intermediate, 5 Hours).</w:t>
      </w:r>
    </w:p>
    <w:p>
      <w:pPr>
        <w:pStyle w:val="ListBullet"/>
        <w:spacing w:after="80" w:line="276" w:lineRule="auto"/>
        <w:jc w:val="both"/>
      </w:pPr>
      <w:r>
        <w:rPr>
          <w:rFonts w:ascii="Times New Roman" w:hAnsi="Times New Roman"/>
          <w:color w:val="2D3748"/>
          <w:sz w:val="23"/>
        </w:rPr>
        <w:t>Gained fluency in formulating domain-specific KPIs, custom throughput expressions, and process filtering rules.</w:t>
      </w:r>
    </w:p>
    <w:p>
      <w:r>
        <w:br w:type="page"/>
      </w:r>
    </w:p>
    <w:p>
      <w:pPr>
        <w:keepNext/>
        <w:spacing w:before="280" w:after="120"/>
        <w:jc w:val="left"/>
      </w:pPr>
      <w:r>
        <w:rPr>
          <w:rFonts w:ascii="Times New Roman" w:hAnsi="Times New Roman"/>
          <w:b/>
          <w:color w:val="1A365D"/>
          <w:sz w:val="30"/>
        </w:rPr>
        <w:t>WEEK 4: PROCESS DISCOVERY, VARIANT ANALYSIS &amp; DIRECTLY-FOLLOWS GRAPHS</w:t>
      </w:r>
    </w:p>
    <w:p>
      <w:pPr>
        <w:keepNext/>
        <w:spacing w:before="200" w:after="80"/>
        <w:jc w:val="left"/>
      </w:pPr>
      <w:r>
        <w:rPr>
          <w:rFonts w:ascii="Times New Roman" w:hAnsi="Times New Roman"/>
          <w:b/>
          <w:color w:val="2B6CB0"/>
          <w:sz w:val="26"/>
        </w:rPr>
        <w:t>4.1 Process Discovery Algorithms</w:t>
      </w:r>
    </w:p>
    <w:p>
      <w:pPr>
        <w:spacing w:after="120" w:line="276" w:lineRule="auto"/>
        <w:jc w:val="both"/>
      </w:pPr>
      <w:r>
        <w:rPr>
          <w:rFonts w:ascii="Times New Roman" w:hAnsi="Times New Roman"/>
          <w:i w:val="0"/>
          <w:color w:val="2D3748"/>
          <w:sz w:val="23"/>
        </w:rPr>
        <w:t>Week 4 explored the mathematics and algorithmic principles behind automated process discovery. When thousands of business cases are executed, they take varying paths due to exceptions, manual interventions, and regional rules. Process discovery algorithms automatically reconstruct the holistic execution graph from raw event sequences.</w:t>
      </w:r>
    </w:p>
    <w:p>
      <w:pPr>
        <w:keepNext/>
        <w:spacing w:before="200" w:after="80"/>
        <w:jc w:val="left"/>
      </w:pPr>
      <w:r>
        <w:rPr>
          <w:rFonts w:ascii="Times New Roman" w:hAnsi="Times New Roman"/>
          <w:b/>
          <w:color w:val="2B6CB0"/>
          <w:sz w:val="26"/>
        </w:rPr>
        <w:t>4.2 Directly-Follows Graph (DFG) Extraction</w:t>
      </w:r>
    </w:p>
    <w:p>
      <w:pPr>
        <w:spacing w:after="120" w:line="276" w:lineRule="auto"/>
        <w:jc w:val="both"/>
      </w:pPr>
      <w:r>
        <w:rPr>
          <w:rFonts w:ascii="Times New Roman" w:hAnsi="Times New Roman"/>
          <w:i w:val="0"/>
          <w:color w:val="2D3748"/>
          <w:sz w:val="23"/>
        </w:rPr>
        <w:t>A Directly-Follows Graph is a directed graph G = (V, E) where vertices V represent unique activities, and directed edges E = (u, v) represent immediate sequential transitions where activity v occurs directly after activity u within the same case ID. Edge weights quantify case frequency and mean transition duration.</w:t>
      </w:r>
    </w:p>
    <w:p>
      <w:pPr>
        <w:spacing w:before="80" w:after="80"/>
        <w:jc w:val="center"/>
      </w:pPr>
      <w:r>
        <w:drawing>
          <wp:inline xmlns:a="http://schemas.openxmlformats.org/drawingml/2006/main" xmlns:pic="http://schemas.openxmlformats.org/drawingml/2006/picture">
            <wp:extent cx="4937760" cy="2942705"/>
            <wp:docPr id="9" name="Picture 9"/>
            <wp:cNvGraphicFramePr>
              <a:graphicFrameLocks noChangeAspect="1"/>
            </wp:cNvGraphicFramePr>
            <a:graphic>
              <a:graphicData uri="http://schemas.openxmlformats.org/drawingml/2006/picture">
                <pic:pic>
                  <pic:nvPicPr>
                    <pic:cNvPr id="0" name="fig1_process_discovery_dfg.png"/>
                    <pic:cNvPicPr/>
                  </pic:nvPicPr>
                  <pic:blipFill>
                    <a:blip r:embed="rId16"/>
                    <a:stretch>
                      <a:fillRect/>
                    </a:stretch>
                  </pic:blipFill>
                  <pic:spPr>
                    <a:xfrm>
                      <a:off x="0" y="0"/>
                      <a:ext cx="4937760" cy="2942705"/>
                    </a:xfrm>
                    <a:prstGeom prst="rect"/>
                  </pic:spPr>
                </pic:pic>
              </a:graphicData>
            </a:graphic>
          </wp:inline>
        </w:drawing>
      </w:r>
    </w:p>
    <w:p>
      <w:pPr>
        <w:keepNext/>
        <w:spacing w:before="200" w:after="80"/>
        <w:jc w:val="left"/>
      </w:pPr>
      <w:r>
        <w:rPr>
          <w:rFonts w:ascii="Times New Roman" w:hAnsi="Times New Roman"/>
          <w:b/>
          <w:color w:val="2B6CB0"/>
          <w:sz w:val="26"/>
        </w:rPr>
        <w:t>4.3 Variant Analysis &amp; The Pareto Principle</w:t>
      </w:r>
    </w:p>
    <w:p>
      <w:pPr>
        <w:spacing w:after="120" w:line="276" w:lineRule="auto"/>
        <w:jc w:val="both"/>
      </w:pPr>
      <w:r>
        <w:rPr>
          <w:rFonts w:ascii="Times New Roman" w:hAnsi="Times New Roman"/>
          <w:i w:val="0"/>
          <w:color w:val="2D3748"/>
          <w:sz w:val="23"/>
        </w:rPr>
        <w:t>A process variant is a unique end-to-end sequence of activities from start to end. Analysis revealed that the top 3 'happy-path' variants accounted for 72% of total transaction volume, while the remaining 28% exhibited extreme variance across over 40 divergent paths, generating massive operational friction.</w:t>
      </w:r>
    </w:p>
    <w:p>
      <w:pPr>
        <w:keepNext/>
        <w:spacing w:before="200" w:after="80"/>
        <w:jc w:val="left"/>
      </w:pPr>
      <w:r>
        <w:rPr>
          <w:rFonts w:ascii="Times New Roman" w:hAnsi="Times New Roman"/>
          <w:b/>
          <w:color w:val="2B6CB0"/>
          <w:sz w:val="26"/>
        </w:rPr>
        <w:t>4.4 Learning Outcomes (Mapped to PO2, PO3, PO5)</w:t>
      </w:r>
    </w:p>
    <w:p>
      <w:pPr>
        <w:pStyle w:val="ListBullet"/>
        <w:spacing w:after="80" w:line="276" w:lineRule="auto"/>
        <w:jc w:val="both"/>
      </w:pPr>
      <w:r>
        <w:rPr>
          <w:rFonts w:ascii="Times New Roman" w:hAnsi="Times New Roman"/>
          <w:color w:val="2D3748"/>
          <w:sz w:val="23"/>
        </w:rPr>
        <w:t>Analyzed variant distributions and identified non-standard execution paths in Order-to-Cash pipelines.</w:t>
      </w:r>
    </w:p>
    <w:p>
      <w:pPr>
        <w:pStyle w:val="ListBullet"/>
        <w:spacing w:after="80" w:line="276" w:lineRule="auto"/>
        <w:jc w:val="both"/>
      </w:pPr>
      <w:r>
        <w:rPr>
          <w:rFonts w:ascii="Times New Roman" w:hAnsi="Times New Roman"/>
          <w:color w:val="2D3748"/>
          <w:sz w:val="23"/>
        </w:rPr>
        <w:t>Calculated transition probabilities and discovered hidden rework loops using graph discovery techniques.</w:t>
      </w:r>
    </w:p>
    <w:p>
      <w:r>
        <w:br w:type="page"/>
      </w:r>
    </w:p>
    <w:p>
      <w:pPr>
        <w:keepNext/>
        <w:spacing w:before="280" w:after="120"/>
        <w:jc w:val="left"/>
      </w:pPr>
      <w:r>
        <w:rPr>
          <w:rFonts w:ascii="Times New Roman" w:hAnsi="Times New Roman"/>
          <w:b/>
          <w:color w:val="1A365D"/>
          <w:sz w:val="30"/>
        </w:rPr>
        <w:t>WEEK 5: CONFORMANCE CHECKING, PROCESS DEVIATIONS &amp; AUDITING</w:t>
      </w:r>
    </w:p>
    <w:p>
      <w:pPr>
        <w:keepNext/>
        <w:spacing w:before="200" w:after="80"/>
        <w:jc w:val="left"/>
      </w:pPr>
      <w:r>
        <w:rPr>
          <w:rFonts w:ascii="Times New Roman" w:hAnsi="Times New Roman"/>
          <w:b/>
          <w:color w:val="2B6CB0"/>
          <w:sz w:val="26"/>
        </w:rPr>
        <w:t>5.1 Principles of Conformance Checking</w:t>
      </w:r>
    </w:p>
    <w:p>
      <w:pPr>
        <w:spacing w:after="120" w:line="276" w:lineRule="auto"/>
        <w:jc w:val="both"/>
      </w:pPr>
      <w:r>
        <w:rPr>
          <w:rFonts w:ascii="Times New Roman" w:hAnsi="Times New Roman"/>
          <w:i w:val="0"/>
          <w:color w:val="2D3748"/>
          <w:sz w:val="23"/>
        </w:rPr>
        <w:t>Week 5 focused on comparing observed process execution against prescribed target models (BPMN / normative rules). Conformance checking identifies process non-compliance, unauthorized activity skips, and sequence violations that threaten audit readiness, legal compliance, and financial integrity.</w:t>
      </w:r>
    </w:p>
    <w:p>
      <w:pPr>
        <w:keepNext/>
        <w:spacing w:before="200" w:after="80"/>
        <w:jc w:val="left"/>
      </w:pPr>
      <w:r>
        <w:rPr>
          <w:rFonts w:ascii="Times New Roman" w:hAnsi="Times New Roman"/>
          <w:b/>
          <w:color w:val="2B6CB0"/>
          <w:sz w:val="26"/>
        </w:rPr>
        <w:t>5.2 Classification of Process Deviations</w:t>
      </w:r>
    </w:p>
    <w:p>
      <w:pPr>
        <w:spacing w:after="120" w:line="276" w:lineRule="auto"/>
        <w:jc w:val="both"/>
      </w:pPr>
      <w:r>
        <w:rPr>
          <w:rFonts w:ascii="Times New Roman" w:hAnsi="Times New Roman"/>
          <w:i w:val="0"/>
          <w:color w:val="2D3748"/>
          <w:sz w:val="23"/>
        </w:rPr>
        <w:t>Conformance violations are systematically classified into three structural categories:</w:t>
      </w:r>
    </w:p>
    <w:p>
      <w:pPr>
        <w:pStyle w:val="ListBullet"/>
        <w:spacing w:after="80" w:line="276" w:lineRule="auto"/>
        <w:jc w:val="both"/>
      </w:pPr>
      <w:r>
        <w:rPr>
          <w:rFonts w:ascii="Times New Roman" w:hAnsi="Times New Roman"/>
          <w:b/>
          <w:color w:val="2D3748"/>
          <w:sz w:val="23"/>
        </w:rPr>
        <w:t xml:space="preserve">1. Undesired Activity Skips: </w:t>
      </w:r>
      <w:r>
        <w:rPr>
          <w:rFonts w:ascii="Times New Roman" w:hAnsi="Times New Roman"/>
          <w:color w:val="2D3748"/>
          <w:sz w:val="23"/>
        </w:rPr>
        <w:t>Occurs when mandatory compliance steps (e.g., Credit Check, Manager Dual-Approval) are completely omitted before dispatch.</w:t>
      </w:r>
    </w:p>
    <w:p>
      <w:pPr>
        <w:pStyle w:val="ListBullet"/>
        <w:spacing w:after="80" w:line="276" w:lineRule="auto"/>
        <w:jc w:val="both"/>
      </w:pPr>
      <w:r>
        <w:rPr>
          <w:rFonts w:ascii="Times New Roman" w:hAnsi="Times New Roman"/>
          <w:b/>
          <w:color w:val="2D3748"/>
          <w:sz w:val="23"/>
        </w:rPr>
        <w:t xml:space="preserve">2. Out-of-Sequence Execution: </w:t>
      </w:r>
      <w:r>
        <w:rPr>
          <w:rFonts w:ascii="Times New Roman" w:hAnsi="Times New Roman"/>
          <w:color w:val="2D3748"/>
          <w:sz w:val="23"/>
        </w:rPr>
        <w:t>Occurs when activities are performed in reversed chronological sequence (e.g., Dispatching goods before receiving payment authorization).</w:t>
      </w:r>
    </w:p>
    <w:p>
      <w:pPr>
        <w:pStyle w:val="ListBullet"/>
        <w:spacing w:after="80" w:line="276" w:lineRule="auto"/>
        <w:jc w:val="both"/>
      </w:pPr>
      <w:r>
        <w:rPr>
          <w:rFonts w:ascii="Times New Roman" w:hAnsi="Times New Roman"/>
          <w:b/>
          <w:color w:val="2D3748"/>
          <w:sz w:val="23"/>
        </w:rPr>
        <w:t xml:space="preserve">3. Rework &amp; Circular Loops: </w:t>
      </w:r>
      <w:r>
        <w:rPr>
          <w:rFonts w:ascii="Times New Roman" w:hAnsi="Times New Roman"/>
          <w:color w:val="2D3748"/>
          <w:sz w:val="23"/>
        </w:rPr>
        <w:t>Repeated execution of identical stages (e.g., multiple credit re-evaluations or price renegotiations) signifying operational inefficiencies.</w:t>
      </w:r>
    </w:p>
    <w:p>
      <w:pPr>
        <w:keepNext/>
        <w:spacing w:before="200" w:after="80"/>
        <w:jc w:val="left"/>
      </w:pPr>
      <w:r>
        <w:rPr>
          <w:rFonts w:ascii="Times New Roman" w:hAnsi="Times New Roman"/>
          <w:b/>
          <w:color w:val="2B6CB0"/>
          <w:sz w:val="26"/>
        </w:rPr>
        <w:t>5.3 Conformance Fitness Metric</w:t>
      </w:r>
    </w:p>
    <w:p>
      <w:pPr>
        <w:spacing w:after="120" w:line="276" w:lineRule="auto"/>
        <w:jc w:val="both"/>
      </w:pPr>
      <w:r>
        <w:rPr>
          <w:rFonts w:ascii="Times New Roman" w:hAnsi="Times New Roman"/>
          <w:i w:val="0"/>
          <w:color w:val="2D3748"/>
          <w:sz w:val="23"/>
        </w:rPr>
        <w:t>Conformance fitness is evaluated mathematically as the proportion of aligned traces relative to total observed traces:</w:t>
      </w:r>
    </w:p>
    <w:p>
      <w:pPr>
        <w:spacing w:after="120" w:line="276" w:lineRule="auto"/>
        <w:jc w:val="both"/>
      </w:pPr>
      <w:r>
        <w:rPr>
          <w:rFonts w:ascii="Times New Roman" w:hAnsi="Times New Roman"/>
          <w:i/>
          <w:color w:val="2D3748"/>
          <w:sz w:val="23"/>
        </w:rPr>
        <w:t>Fitness = (Total Conforming Transitions) / (Total Observed Transitions in Event Log)</w:t>
      </w:r>
    </w:p>
    <w:p>
      <w:pPr>
        <w:keepNext/>
        <w:spacing w:before="200" w:after="80"/>
        <w:jc w:val="left"/>
      </w:pPr>
      <w:r>
        <w:rPr>
          <w:rFonts w:ascii="Times New Roman" w:hAnsi="Times New Roman"/>
          <w:b/>
          <w:color w:val="2B6CB0"/>
          <w:sz w:val="26"/>
        </w:rPr>
        <w:t>5.4 Learning Outcomes (Mapped to PO2, PO4, PO8)</w:t>
      </w:r>
    </w:p>
    <w:p>
      <w:pPr>
        <w:pStyle w:val="ListBullet"/>
        <w:spacing w:after="80" w:line="276" w:lineRule="auto"/>
        <w:jc w:val="both"/>
      </w:pPr>
      <w:r>
        <w:rPr>
          <w:rFonts w:ascii="Times New Roman" w:hAnsi="Times New Roman"/>
          <w:color w:val="2D3748"/>
          <w:sz w:val="23"/>
        </w:rPr>
        <w:t>Earned the Celonis Academy Credly Badge: 'Process Mining Audit Professional' (Foundational).</w:t>
      </w:r>
    </w:p>
    <w:p>
      <w:pPr>
        <w:pStyle w:val="ListBullet"/>
        <w:spacing w:after="80" w:line="276" w:lineRule="auto"/>
        <w:jc w:val="both"/>
      </w:pPr>
      <w:r>
        <w:rPr>
          <w:rFonts w:ascii="Times New Roman" w:hAnsi="Times New Roman"/>
          <w:color w:val="2D3748"/>
          <w:sz w:val="23"/>
        </w:rPr>
        <w:t>Developed algorithmic rules for detecting compliance deviations and generating automated audit trail summaries.</w:t>
      </w:r>
    </w:p>
    <w:p>
      <w:r>
        <w:br w:type="page"/>
      </w:r>
    </w:p>
    <w:p>
      <w:pPr>
        <w:keepNext/>
        <w:spacing w:before="280" w:after="120"/>
        <w:jc w:val="left"/>
      </w:pPr>
      <w:r>
        <w:rPr>
          <w:rFonts w:ascii="Times New Roman" w:hAnsi="Times New Roman"/>
          <w:b/>
          <w:color w:val="1A365D"/>
          <w:sz w:val="30"/>
        </w:rPr>
        <w:t>WEEK 6: PROCESS AUTOMATION BASICS &amp; CELONIS ACTION FLOWS</w:t>
      </w:r>
    </w:p>
    <w:p>
      <w:pPr>
        <w:keepNext/>
        <w:spacing w:before="200" w:after="80"/>
        <w:jc w:val="left"/>
      </w:pPr>
      <w:r>
        <w:rPr>
          <w:rFonts w:ascii="Times New Roman" w:hAnsi="Times New Roman"/>
          <w:b/>
          <w:color w:val="2B6CB0"/>
          <w:sz w:val="26"/>
        </w:rPr>
        <w:t>6.1 The Paradigm of Intelligent Execution Automation</w:t>
      </w:r>
    </w:p>
    <w:p>
      <w:pPr>
        <w:spacing w:after="120" w:line="276" w:lineRule="auto"/>
        <w:jc w:val="both"/>
      </w:pPr>
      <w:r>
        <w:rPr>
          <w:rFonts w:ascii="Times New Roman" w:hAnsi="Times New Roman"/>
          <w:i w:val="0"/>
          <w:color w:val="2D3748"/>
          <w:sz w:val="23"/>
        </w:rPr>
        <w:t>Week 6 shifted focus from analytical process diagnostics to automated execution. Rather than merely visualizing where delays occur, Celonis Action Flows empower organizations to automatically intervene in real time by triggering downstream tasks across enterprise systems.</w:t>
      </w:r>
    </w:p>
    <w:p>
      <w:pPr>
        <w:keepNext/>
        <w:spacing w:before="200" w:after="80"/>
        <w:jc w:val="left"/>
      </w:pPr>
      <w:r>
        <w:rPr>
          <w:rFonts w:ascii="Times New Roman" w:hAnsi="Times New Roman"/>
          <w:b/>
          <w:color w:val="2B6CB0"/>
          <w:sz w:val="26"/>
        </w:rPr>
        <w:t>6.2 Architecture of Celonis Action Flows</w:t>
      </w:r>
    </w:p>
    <w:p>
      <w:pPr>
        <w:spacing w:after="120" w:line="276" w:lineRule="auto"/>
        <w:jc w:val="both"/>
      </w:pPr>
      <w:r>
        <w:rPr>
          <w:rFonts w:ascii="Times New Roman" w:hAnsi="Times New Roman"/>
          <w:i w:val="0"/>
          <w:color w:val="2D3748"/>
          <w:sz w:val="23"/>
        </w:rPr>
        <w:t>Celonis Action Flows are built upon an event-driven automation framework comprising:</w:t>
      </w:r>
    </w:p>
    <w:p>
      <w:pPr>
        <w:pStyle w:val="ListBullet"/>
        <w:spacing w:after="80" w:line="276" w:lineRule="auto"/>
        <w:jc w:val="both"/>
      </w:pPr>
      <w:r>
        <w:rPr>
          <w:rFonts w:ascii="Times New Roman" w:hAnsi="Times New Roman"/>
          <w:b/>
          <w:color w:val="2D3748"/>
          <w:sz w:val="23"/>
        </w:rPr>
        <w:t xml:space="preserve">1. Event Listeners &amp; Watchers: </w:t>
      </w:r>
      <w:r>
        <w:rPr>
          <w:rFonts w:ascii="Times New Roman" w:hAnsi="Times New Roman"/>
          <w:color w:val="2D3748"/>
          <w:sz w:val="23"/>
        </w:rPr>
        <w:t>Monitors PQL analytical queries to detect specific conditions (e.g., Case lead time exceeding 5 days, High order value awaiting approval &gt; 24 hours).</w:t>
      </w:r>
    </w:p>
    <w:p>
      <w:pPr>
        <w:pStyle w:val="ListBullet"/>
        <w:spacing w:after="80" w:line="276" w:lineRule="auto"/>
        <w:jc w:val="both"/>
      </w:pPr>
      <w:r>
        <w:rPr>
          <w:rFonts w:ascii="Times New Roman" w:hAnsi="Times New Roman"/>
          <w:b/>
          <w:color w:val="2D3748"/>
          <w:sz w:val="23"/>
        </w:rPr>
        <w:t xml:space="preserve">2. Webhook &amp; HTTP Connectors: </w:t>
      </w:r>
      <w:r>
        <w:rPr>
          <w:rFonts w:ascii="Times New Roman" w:hAnsi="Times New Roman"/>
          <w:color w:val="2D3748"/>
          <w:sz w:val="23"/>
        </w:rPr>
        <w:t>Dispatches secure JSON payloads to external enterprise endpoints, webhooks, or messaging channels.</w:t>
      </w:r>
    </w:p>
    <w:p>
      <w:pPr>
        <w:pStyle w:val="ListBullet"/>
        <w:spacing w:after="80" w:line="276" w:lineRule="auto"/>
        <w:jc w:val="both"/>
      </w:pPr>
      <w:r>
        <w:rPr>
          <w:rFonts w:ascii="Times New Roman" w:hAnsi="Times New Roman"/>
          <w:b/>
          <w:color w:val="2D3748"/>
          <w:sz w:val="23"/>
        </w:rPr>
        <w:t xml:space="preserve">3. Conditional Routers &amp; Filters: </w:t>
      </w:r>
      <w:r>
        <w:rPr>
          <w:rFonts w:ascii="Times New Roman" w:hAnsi="Times New Roman"/>
          <w:color w:val="2D3748"/>
          <w:sz w:val="23"/>
        </w:rPr>
        <w:t>Evaluates threshold logic, customer priority tiers, and routing rules before executing actions.</w:t>
      </w:r>
    </w:p>
    <w:p>
      <w:pPr>
        <w:pStyle w:val="ListBullet"/>
        <w:spacing w:after="80" w:line="276" w:lineRule="auto"/>
        <w:jc w:val="both"/>
      </w:pPr>
      <w:r>
        <w:rPr>
          <w:rFonts w:ascii="Times New Roman" w:hAnsi="Times New Roman"/>
          <w:b/>
          <w:color w:val="2D3748"/>
          <w:sz w:val="23"/>
        </w:rPr>
        <w:t xml:space="preserve">4. Action Executions: </w:t>
      </w:r>
      <w:r>
        <w:rPr>
          <w:rFonts w:ascii="Times New Roman" w:hAnsi="Times New Roman"/>
          <w:color w:val="2D3748"/>
          <w:sz w:val="23"/>
        </w:rPr>
        <w:t>Automatically updates ERP records, creates remediation tickets (ServiceNow / Jira), or alerts responsible staff via Slack/Teams.</w:t>
      </w:r>
    </w:p>
    <w:p>
      <w:pPr>
        <w:keepNext/>
        <w:spacing w:before="200" w:after="80"/>
        <w:jc w:val="left"/>
      </w:pPr>
      <w:r>
        <w:rPr>
          <w:rFonts w:ascii="Times New Roman" w:hAnsi="Times New Roman"/>
          <w:b/>
          <w:color w:val="2B6CB0"/>
          <w:sz w:val="26"/>
        </w:rPr>
        <w:t>6.3 Learning Outcomes (Mapped to PO3, PO5, PO11)</w:t>
      </w:r>
    </w:p>
    <w:p>
      <w:pPr>
        <w:pStyle w:val="ListBullet"/>
        <w:spacing w:after="80" w:line="276" w:lineRule="auto"/>
        <w:jc w:val="both"/>
      </w:pPr>
      <w:r>
        <w:rPr>
          <w:rFonts w:ascii="Times New Roman" w:hAnsi="Times New Roman"/>
          <w:color w:val="2D3748"/>
          <w:sz w:val="23"/>
        </w:rPr>
        <w:t>Earned the Celonis Academy Credly Badges: 'Process Automation Basics' and 'Build Action Flows' (Intermediate, 6 Hours).</w:t>
      </w:r>
    </w:p>
    <w:p>
      <w:pPr>
        <w:pStyle w:val="ListBullet"/>
        <w:spacing w:after="80" w:line="276" w:lineRule="auto"/>
        <w:jc w:val="both"/>
      </w:pPr>
      <w:r>
        <w:rPr>
          <w:rFonts w:ascii="Times New Roman" w:hAnsi="Times New Roman"/>
          <w:color w:val="2D3748"/>
          <w:sz w:val="23"/>
        </w:rPr>
        <w:t>Designed end-to-end automated action loops connecting process triggers with RESTful webhook endpoints.</w:t>
      </w:r>
    </w:p>
    <w:p>
      <w:r>
        <w:br w:type="page"/>
      </w:r>
    </w:p>
    <w:p>
      <w:pPr>
        <w:keepNext/>
        <w:spacing w:before="280" w:after="120"/>
        <w:jc w:val="left"/>
      </w:pPr>
      <w:r>
        <w:rPr>
          <w:rFonts w:ascii="Times New Roman" w:hAnsi="Times New Roman"/>
          <w:b/>
          <w:color w:val="1A365D"/>
          <w:sz w:val="30"/>
        </w:rPr>
        <w:t>WEEK 7: AI &amp; MACHINE LEARNING FOR PREDICTIVE PROCESS INTELLIGENCE</w:t>
      </w:r>
    </w:p>
    <w:p>
      <w:pPr>
        <w:keepNext/>
        <w:spacing w:before="200" w:after="80"/>
        <w:jc w:val="left"/>
      </w:pPr>
      <w:r>
        <w:rPr>
          <w:rFonts w:ascii="Times New Roman" w:hAnsi="Times New Roman"/>
          <w:b/>
          <w:color w:val="2B6CB0"/>
          <w:sz w:val="26"/>
        </w:rPr>
        <w:t>7.1 Integrating Machine Learning with Process Mining</w:t>
      </w:r>
    </w:p>
    <w:p>
      <w:pPr>
        <w:spacing w:after="120" w:line="276" w:lineRule="auto"/>
        <w:jc w:val="both"/>
      </w:pPr>
      <w:r>
        <w:rPr>
          <w:rFonts w:ascii="Times New Roman" w:hAnsi="Times New Roman"/>
          <w:i w:val="0"/>
          <w:color w:val="2D3748"/>
          <w:sz w:val="23"/>
        </w:rPr>
        <w:t>While traditional process mining provides backward-looking diagnostic insights (what happened and why), integrating Machine Learning enables forward-looking predictive intelligence (what will happen next and which cases are destined to fail SLAs).</w:t>
      </w:r>
    </w:p>
    <w:p>
      <w:pPr>
        <w:spacing w:after="120" w:line="276" w:lineRule="auto"/>
        <w:jc w:val="both"/>
      </w:pPr>
      <w:r>
        <w:rPr>
          <w:rFonts w:ascii="Times New Roman" w:hAnsi="Times New Roman"/>
          <w:i w:val="0"/>
          <w:color w:val="2D3748"/>
          <w:sz w:val="23"/>
        </w:rPr>
        <w:t>During Week 7, state-of-the-art predictive algorithms were evaluated to forecast case completion times, quantify the probability of bottleneck occurrences, and isolate primary root-cause features driving operational delays.</w:t>
      </w:r>
    </w:p>
    <w:p>
      <w:pPr>
        <w:keepNext/>
        <w:spacing w:before="200" w:after="80"/>
        <w:jc w:val="left"/>
      </w:pPr>
      <w:r>
        <w:rPr>
          <w:rFonts w:ascii="Times New Roman" w:hAnsi="Times New Roman"/>
          <w:b/>
          <w:color w:val="2B6CB0"/>
          <w:sz w:val="26"/>
        </w:rPr>
        <w:t>7.2 Feature Engineering from Event Streams</w:t>
      </w:r>
    </w:p>
    <w:p>
      <w:pPr>
        <w:spacing w:after="120" w:line="276" w:lineRule="auto"/>
        <w:jc w:val="both"/>
      </w:pPr>
      <w:r>
        <w:rPr>
          <w:rFonts w:ascii="Times New Roman" w:hAnsi="Times New Roman"/>
          <w:i w:val="0"/>
          <w:color w:val="2D3748"/>
          <w:sz w:val="23"/>
        </w:rPr>
        <w:t>Predictive models require rich tabular feature vectors engineered from running event sequences:</w:t>
      </w:r>
    </w:p>
    <w:p>
      <w:pPr>
        <w:pStyle w:val="ListBullet"/>
        <w:spacing w:after="80" w:line="276" w:lineRule="auto"/>
        <w:jc w:val="both"/>
      </w:pPr>
      <w:r>
        <w:rPr>
          <w:rFonts w:ascii="Times New Roman" w:hAnsi="Times New Roman"/>
          <w:b/>
          <w:color w:val="2D3748"/>
          <w:sz w:val="23"/>
        </w:rPr>
        <w:t xml:space="preserve">Temporal Features: </w:t>
      </w:r>
      <w:r>
        <w:rPr>
          <w:rFonts w:ascii="Times New Roman" w:hAnsi="Times New Roman"/>
          <w:color w:val="2D3748"/>
          <w:sz w:val="23"/>
        </w:rPr>
        <w:t>Cumulative execution time, mean transition speed, number of completed stages.</w:t>
      </w:r>
    </w:p>
    <w:p>
      <w:pPr>
        <w:pStyle w:val="ListBullet"/>
        <w:spacing w:after="80" w:line="276" w:lineRule="auto"/>
        <w:jc w:val="both"/>
      </w:pPr>
      <w:r>
        <w:rPr>
          <w:rFonts w:ascii="Times New Roman" w:hAnsi="Times New Roman"/>
          <w:b/>
          <w:color w:val="2D3748"/>
          <w:sz w:val="23"/>
        </w:rPr>
        <w:t xml:space="preserve">Structural Metrics: </w:t>
      </w:r>
      <w:r>
        <w:rPr>
          <w:rFonts w:ascii="Times New Roman" w:hAnsi="Times New Roman"/>
          <w:color w:val="2D3748"/>
          <w:sz w:val="23"/>
        </w:rPr>
        <w:t>Total accrued costs, number of rework loops, resource workload intensity.</w:t>
      </w:r>
    </w:p>
    <w:p>
      <w:pPr>
        <w:pStyle w:val="ListBullet"/>
        <w:spacing w:after="80" w:line="276" w:lineRule="auto"/>
        <w:jc w:val="both"/>
      </w:pPr>
      <w:r>
        <w:rPr>
          <w:rFonts w:ascii="Times New Roman" w:hAnsi="Times New Roman"/>
          <w:b/>
          <w:color w:val="2D3748"/>
          <w:sz w:val="23"/>
        </w:rPr>
        <w:t xml:space="preserve">Contextual Attributes: </w:t>
      </w:r>
      <w:r>
        <w:rPr>
          <w:rFonts w:ascii="Times New Roman" w:hAnsi="Times New Roman"/>
          <w:color w:val="2D3748"/>
          <w:sz w:val="23"/>
        </w:rPr>
        <w:t>Order value, customer tier, geographical region, product category.</w:t>
      </w:r>
    </w:p>
    <w:p>
      <w:pPr>
        <w:keepNext/>
        <w:spacing w:before="200" w:after="80"/>
        <w:jc w:val="left"/>
      </w:pPr>
      <w:r>
        <w:rPr>
          <w:rFonts w:ascii="Times New Roman" w:hAnsi="Times New Roman"/>
          <w:b/>
          <w:color w:val="2B6CB0"/>
          <w:sz w:val="26"/>
        </w:rPr>
        <w:t>7.3 Predictive Algorithms Evaluated</w:t>
      </w:r>
    </w:p>
    <w:p>
      <w:pPr>
        <w:spacing w:after="120" w:line="276" w:lineRule="auto"/>
        <w:jc w:val="both"/>
      </w:pPr>
      <w:r>
        <w:rPr>
          <w:rFonts w:ascii="Times New Roman" w:hAnsi="Times New Roman"/>
          <w:i w:val="0"/>
          <w:color w:val="2D3748"/>
          <w:sz w:val="23"/>
        </w:rPr>
        <w:t>Supervised machine learning classifiers—including Random Forest, Gradient Boosting, and Logistic Regression—were trained to classify ongoing business cases into 'On-Time' versus 'SLA Breached' categories, delivering early warning signals before breaches materialize.</w:t>
      </w:r>
    </w:p>
    <w:p>
      <w:pPr>
        <w:keepNext/>
        <w:spacing w:before="200" w:after="80"/>
        <w:jc w:val="left"/>
      </w:pPr>
      <w:r>
        <w:rPr>
          <w:rFonts w:ascii="Times New Roman" w:hAnsi="Times New Roman"/>
          <w:b/>
          <w:color w:val="2B6CB0"/>
          <w:sz w:val="26"/>
        </w:rPr>
        <w:t>7.4 Learning Outcomes (Mapped to PO1, PO2, PO4, PO5)</w:t>
      </w:r>
    </w:p>
    <w:p>
      <w:pPr>
        <w:pStyle w:val="ListBullet"/>
        <w:spacing w:after="80" w:line="276" w:lineRule="auto"/>
        <w:jc w:val="both"/>
      </w:pPr>
      <w:r>
        <w:rPr>
          <w:rFonts w:ascii="Times New Roman" w:hAnsi="Times New Roman"/>
          <w:color w:val="2D3748"/>
          <w:sz w:val="23"/>
        </w:rPr>
        <w:t>Formulated feature extraction pipelines from time-series event logs for supervised ML model training.</w:t>
      </w:r>
    </w:p>
    <w:p>
      <w:pPr>
        <w:pStyle w:val="ListBullet"/>
        <w:spacing w:after="80" w:line="276" w:lineRule="auto"/>
        <w:jc w:val="both"/>
      </w:pPr>
      <w:r>
        <w:rPr>
          <w:rFonts w:ascii="Times New Roman" w:hAnsi="Times New Roman"/>
          <w:color w:val="2D3748"/>
          <w:sz w:val="23"/>
        </w:rPr>
        <w:t>Evaluated model performance using ROC-AUC, Precision-Recall, F1-Score, and Gini Feature Importance.</w:t>
      </w:r>
    </w:p>
    <w:p>
      <w:r>
        <w:br w:type="page"/>
      </w:r>
    </w:p>
    <w:p>
      <w:pPr>
        <w:keepNext/>
        <w:spacing w:before="280" w:after="120"/>
        <w:jc w:val="left"/>
      </w:pPr>
      <w:r>
        <w:rPr>
          <w:rFonts w:ascii="Times New Roman" w:hAnsi="Times New Roman"/>
          <w:b/>
          <w:color w:val="1A365D"/>
          <w:sz w:val="30"/>
        </w:rPr>
        <w:t>WEEK 8 / MINI PROJECT: PROCESSINTEL-AI SYSTEM</w:t>
      </w:r>
    </w:p>
    <w:p>
      <w:pPr>
        <w:keepNext/>
        <w:spacing w:before="200" w:after="80"/>
        <w:jc w:val="left"/>
      </w:pPr>
      <w:r>
        <w:rPr>
          <w:rFonts w:ascii="Times New Roman" w:hAnsi="Times New Roman"/>
          <w:b/>
          <w:color w:val="2B6CB0"/>
          <w:sz w:val="26"/>
        </w:rPr>
        <w:t>8.1 Project Problem Statement &amp; Objectives</w:t>
      </w:r>
    </w:p>
    <w:p>
      <w:pPr>
        <w:spacing w:after="120" w:line="276" w:lineRule="auto"/>
        <w:jc w:val="both"/>
      </w:pPr>
      <w:r>
        <w:rPr>
          <w:rFonts w:ascii="Times New Roman" w:hAnsi="Times New Roman"/>
          <w:i w:val="0"/>
          <w:color w:val="2D3748"/>
          <w:sz w:val="23"/>
        </w:rPr>
        <w:t>Enterprise Order-to-Cash (O2C) lifecycles frequently suffer from unpredictable delivery delays, inventory confirmation bottlenecks, and billing settlement friction. These inefficiencies result in customer churn, high operational overhead, and severe financial penalties. The objective of ProcessIntel-AI is to build a unified, automated, AI-driven Process Intelligence and Predictive Bottleneck Prevention System that ingests event logs, discovers actual process graphs, calculates Celonis PQL throughput metrics, predicts SLA violations using Machine Learning, and triggers automated remediation actions.</w:t>
      </w:r>
    </w:p>
    <w:p>
      <w:pPr>
        <w:keepNext/>
        <w:spacing w:before="200" w:after="80"/>
        <w:jc w:val="left"/>
      </w:pPr>
      <w:r>
        <w:rPr>
          <w:rFonts w:ascii="Times New Roman" w:hAnsi="Times New Roman"/>
          <w:b/>
          <w:color w:val="2B6CB0"/>
          <w:sz w:val="26"/>
        </w:rPr>
        <w:t>8.2 System Architecture &amp; Pipeline</w:t>
      </w:r>
    </w:p>
    <w:p>
      <w:pPr>
        <w:spacing w:before="80" w:after="80"/>
        <w:jc w:val="center"/>
      </w:pPr>
      <w:r>
        <w:drawing>
          <wp:inline xmlns:a="http://schemas.openxmlformats.org/drawingml/2006/main" xmlns:pic="http://schemas.openxmlformats.org/drawingml/2006/picture">
            <wp:extent cx="4937760" cy="2543695"/>
            <wp:docPr id="10" name="Picture 10"/>
            <wp:cNvGraphicFramePr>
              <a:graphicFrameLocks noChangeAspect="1"/>
            </wp:cNvGraphicFramePr>
            <a:graphic>
              <a:graphicData uri="http://schemas.openxmlformats.org/drawingml/2006/picture">
                <pic:pic>
                  <pic:nvPicPr>
                    <pic:cNvPr id="0" name="fig5_architecture_diagram.png"/>
                    <pic:cNvPicPr/>
                  </pic:nvPicPr>
                  <pic:blipFill>
                    <a:blip r:embed="rId17"/>
                    <a:stretch>
                      <a:fillRect/>
                    </a:stretch>
                  </pic:blipFill>
                  <pic:spPr>
                    <a:xfrm>
                      <a:off x="0" y="0"/>
                      <a:ext cx="4937760" cy="2543695"/>
                    </a:xfrm>
                    <a:prstGeom prst="rect"/>
                  </pic:spPr>
                </pic:pic>
              </a:graphicData>
            </a:graphic>
          </wp:inline>
        </w:drawing>
      </w:r>
    </w:p>
    <w:p>
      <w:pPr>
        <w:spacing w:after="120" w:line="276" w:lineRule="auto"/>
        <w:jc w:val="both"/>
      </w:pPr>
      <w:r>
        <w:rPr>
          <w:rFonts w:ascii="Times New Roman" w:hAnsi="Times New Roman"/>
          <w:i w:val="0"/>
          <w:color w:val="2D3748"/>
          <w:sz w:val="23"/>
        </w:rPr>
        <w:t>The system architecture is organized into four decoupled, scalable tiers:</w:t>
      </w:r>
    </w:p>
    <w:p>
      <w:pPr>
        <w:pStyle w:val="ListBullet"/>
        <w:spacing w:after="80" w:line="276" w:lineRule="auto"/>
        <w:jc w:val="both"/>
      </w:pPr>
      <w:r>
        <w:rPr>
          <w:rFonts w:ascii="Times New Roman" w:hAnsi="Times New Roman"/>
          <w:b/>
          <w:color w:val="2D3748"/>
          <w:sz w:val="23"/>
        </w:rPr>
        <w:t xml:space="preserve">1. Data Ingestion &amp; ETL Layer: </w:t>
      </w:r>
      <w:r>
        <w:rPr>
          <w:rFonts w:ascii="Times New Roman" w:hAnsi="Times New Roman"/>
          <w:color w:val="2D3748"/>
          <w:sz w:val="23"/>
        </w:rPr>
        <w:t>Ingests multi-source event streams in CSV, XES, and database SQL formats with rigorous timestamp normalization.</w:t>
      </w:r>
    </w:p>
    <w:p>
      <w:pPr>
        <w:pStyle w:val="ListBullet"/>
        <w:spacing w:after="80" w:line="276" w:lineRule="auto"/>
        <w:jc w:val="both"/>
      </w:pPr>
      <w:r>
        <w:rPr>
          <w:rFonts w:ascii="Times New Roman" w:hAnsi="Times New Roman"/>
          <w:b/>
          <w:color w:val="2D3748"/>
          <w:sz w:val="23"/>
        </w:rPr>
        <w:t xml:space="preserve">2. Process Mining Core: </w:t>
      </w:r>
      <w:r>
        <w:rPr>
          <w:rFonts w:ascii="Times New Roman" w:hAnsi="Times New Roman"/>
          <w:color w:val="2D3748"/>
          <w:sz w:val="23"/>
        </w:rPr>
        <w:t>Computes Directly-Follows Graphs (DFG), case variant frequencies, throughput durations, and Celonis PQL aggregations.</w:t>
      </w:r>
    </w:p>
    <w:p>
      <w:pPr>
        <w:pStyle w:val="ListBullet"/>
        <w:spacing w:after="80" w:line="276" w:lineRule="auto"/>
        <w:jc w:val="both"/>
      </w:pPr>
      <w:r>
        <w:rPr>
          <w:rFonts w:ascii="Times New Roman" w:hAnsi="Times New Roman"/>
          <w:b/>
          <w:color w:val="2D3748"/>
          <w:sz w:val="23"/>
        </w:rPr>
        <w:t xml:space="preserve">3. Predictive AI Engine: </w:t>
      </w:r>
      <w:r>
        <w:rPr>
          <w:rFonts w:ascii="Times New Roman" w:hAnsi="Times New Roman"/>
          <w:color w:val="2D3748"/>
          <w:sz w:val="23"/>
        </w:rPr>
        <w:t>Utilizes Random Forest classifiers to predict SLA breaches based on engineered process features.</w:t>
      </w:r>
    </w:p>
    <w:p>
      <w:pPr>
        <w:pStyle w:val="ListBullet"/>
        <w:spacing w:after="80" w:line="276" w:lineRule="auto"/>
        <w:jc w:val="both"/>
      </w:pPr>
      <w:r>
        <w:rPr>
          <w:rFonts w:ascii="Times New Roman" w:hAnsi="Times New Roman"/>
          <w:b/>
          <w:color w:val="2D3748"/>
          <w:sz w:val="23"/>
        </w:rPr>
        <w:t xml:space="preserve">4. Action &amp; Presentation Layer: </w:t>
      </w:r>
      <w:r>
        <w:rPr>
          <w:rFonts w:ascii="Times New Roman" w:hAnsi="Times New Roman"/>
          <w:color w:val="2D3748"/>
          <w:sz w:val="23"/>
        </w:rPr>
        <w:t>Dispatches automated webhook alerts and renders visual process intelligence dashboards for operational leaders.</w:t>
      </w:r>
    </w:p>
    <w:p>
      <w:r>
        <w:br w:type="page"/>
      </w:r>
    </w:p>
    <w:p>
      <w:pPr>
        <w:keepNext/>
        <w:spacing w:before="280" w:after="120"/>
        <w:jc w:val="left"/>
      </w:pPr>
      <w:r>
        <w:rPr>
          <w:rFonts w:ascii="Times New Roman" w:hAnsi="Times New Roman"/>
          <w:b/>
          <w:color w:val="1A365D"/>
          <w:sz w:val="30"/>
        </w:rPr>
        <w:t>MINI PROJECT: TECHNICAL MODULES &amp; FULL SOURCE CODE</w:t>
      </w:r>
    </w:p>
    <w:p>
      <w:pPr>
        <w:keepNext/>
        <w:spacing w:before="200" w:after="80"/>
        <w:jc w:val="left"/>
      </w:pPr>
      <w:r>
        <w:rPr>
          <w:rFonts w:ascii="Times New Roman" w:hAnsi="Times New Roman"/>
          <w:b/>
          <w:color w:val="2B6CB0"/>
          <w:sz w:val="26"/>
        </w:rPr>
        <w:t>8.3 Complete Python Source Code Implementation</w:t>
      </w:r>
    </w:p>
    <w:p>
      <w:pPr>
        <w:spacing w:after="120" w:line="276" w:lineRule="auto"/>
        <w:jc w:val="both"/>
      </w:pPr>
      <w:r>
        <w:rPr>
          <w:rFonts w:ascii="Times New Roman" w:hAnsi="Times New Roman"/>
          <w:i w:val="0"/>
          <w:color w:val="2D3748"/>
          <w:sz w:val="23"/>
        </w:rPr>
        <w:t>The following complete source code files comprise the operational ProcessIntel-AI platform:</w:t>
      </w:r>
    </w:p>
    <w:p>
      <w:pPr>
        <w:keepNext/>
        <w:spacing w:before="160" w:after="40"/>
        <w:jc w:val="left"/>
      </w:pPr>
      <w:r>
        <w:rPr>
          <w:rFonts w:ascii="Times New Roman" w:hAnsi="Times New Roman"/>
          <w:b/>
          <w:color w:val="2D3748"/>
          <w:sz w:val="24"/>
        </w:rPr>
        <w:t>Module 1: Enterprise Event Log Generator (data_generator.py)</w:t>
      </w:r>
    </w:p>
    <w:p>
      <w:pPr>
        <w:spacing w:before="80" w:after="120" w:line="252" w:lineRule="auto"/>
        <w:jc w:val="left"/>
        <w:shd w:fill="F1F5F9"/>
      </w:pPr>
      <w:r>
        <w:rPr>
          <w:rFonts w:ascii="Consolas" w:hAnsi="Consolas"/>
          <w:color w:val="1E293B"/>
          <w:sz w:val="19"/>
        </w:rPr>
        <w:t>import pandas as pd</w:t>
        <w:br/>
        <w:t>import numpy as np</w:t>
        <w:br/>
        <w:t>from datetime import datetime, timedelta</w:t>
        <w:br/>
        <w:t>import random</w:t>
        <w:br/>
        <w:br/>
        <w:t>def generate_event_logs(num_cases=1200, random_seed=42):</w:t>
        <w:br/>
        <w:t xml:space="preserve">    np.random.seed(random_seed)</w:t>
        <w:br/>
        <w:t xml:space="preserve">    random.seed(random_seed)</w:t>
        <w:br/>
        <w:t xml:space="preserve">    records = []</w:t>
        <w:br/>
        <w:t xml:space="preserve">    base_time = datetime(2026, 4, 1, 9, 0, 0)</w:t>
        <w:br/>
        <w:t xml:space="preserve">    </w:t>
        <w:br/>
        <w:t xml:space="preserve">    for case_id in range(1001, 1001 + num_cases):</w:t>
        <w:br/>
        <w:t xml:space="preserve">        curr_time = base_time + timedelta(days=random.randint(0, 45), hours=random.randint(0, 8))</w:t>
        <w:br/>
        <w:t xml:space="preserve">        case_val = round(np.random.exponential(scale=2500) + 100, 2)</w:t>
        <w:br/>
        <w:t xml:space="preserve">        customer_tier = np.random.choice(["Tier-1", "Tier-2", "Tier-3"], p=[0.2, 0.5, 0.3])</w:t>
        <w:br/>
        <w:t xml:space="preserve">        region = np.random.choice(["North", "South", "East", "West", "Central"], p=[0.25, 0.3, 0.15, 0.2, 0.1])</w:t>
        <w:br/>
        <w:t xml:space="preserve">        is_high_risk = (case_val &gt; 5000 or customer_tier == "Tier-3" or region in ["Central", "East"])</w:t>
        <w:br/>
        <w:t xml:space="preserve">        has_bottleneck = (random.random() &lt; (0.65 if is_high_risk else 0.15))</w:t>
        <w:br/>
        <w:t xml:space="preserve">        </w:t>
        <w:br/>
        <w:t xml:space="preserve">        # Chronological Event Synthesis</w:t>
        <w:br/>
        <w:t xml:space="preserve">        records.append({"CaseID": case_id, "Activity": "Order Received", "Timestamp": curr_time, "Resource": "Web_Portal_Bot", "Cost": 5.0, "OrderValue": case_val, "CustomerTier": customer_tier, "Region": region})</w:t>
        <w:br/>
        <w:t xml:space="preserve">        curr_time += timedelta(minutes=random.randint(15, 60))</w:t>
        <w:br/>
        <w:t xml:space="preserve">        records.append({"CaseID": case_id, "Activity": "Credit Check", "Timestamp": curr_time, "Resource": "Risk_Auto_Engine", "Cost": 12.0, "OrderValue": case_val, "CustomerTier": customer_tier, "Region": region})</w:t>
        <w:br/>
        <w:t xml:space="preserve">        curr_time += timedelta(minutes=random.randint(20, 90))</w:t>
        <w:br/>
        <w:t xml:space="preserve">        records.append({"CaseID": case_id, "Activity": "Inventory Check", "Timestamp": curr_time, "Resource": "ERP_Inventory_Sys", "Cost": 8.0, "OrderValue": case_val, "CustomerTier": customer_tier, "Region": region})</w:t>
        <w:br/>
        <w:t xml:space="preserve">        </w:t>
        <w:br/>
        <w:t xml:space="preserve">        if case_val &gt; 3000 or customer_tier == "Tier-3":</w:t>
        <w:br/>
        <w:t xml:space="preserve">            curr_time += timedelta(hours=(random.randint(12, 36) if has_bottleneck else random.randint(2, 6)))</w:t>
        <w:br/>
        <w:t xml:space="preserve">            records.append({"CaseID": case_id, "Activity": "Manual Approval", "Timestamp": curr_time, "Resource": f"Senior_Analyst_{random.randint(1, 4)}", "Cost": 45.0, "OrderValue": case_val, "CustomerTier": customer_tier, "Region": region})</w:t>
        <w:br/>
        <w:t xml:space="preserve">            </w:t>
        <w:br/>
        <w:t xml:space="preserve">        curr_time += timedelta(minutes=random.randint(10, 40))</w:t>
        <w:br/>
        <w:t xml:space="preserve">        records.append({"CaseID": case_id, "Activity": "Order Confirmed", "Timestamp": curr_time, "Resource": "Sales_Ops_Rep", "Cost": 10.0, "OrderValue": case_val, "CustomerTier": customer_tier, "Region": region})</w:t>
        <w:br/>
        <w:t xml:space="preserve">        curr_time += timedelta(hours=(random.randint(8, 24) if has_bottleneck else random.randint(2, 6)))</w:t>
        <w:br/>
        <w:t xml:space="preserve">        records.append({"CaseID": case_id, "Activity": "Package &amp; Dispatch", "Timestamp": curr_time, "Resource": "Warehouse_Hub_1", "Cost": 35.0, "OrderValue": case_val, "CustomerTier": customer_tier, "Region": region})</w:t>
        <w:br/>
        <w:t xml:space="preserve">        curr_time += timedelta(minutes=random.randint(15, 120))</w:t>
        <w:br/>
        <w:t xml:space="preserve">        records.append({"CaseID": case_id, "Activity": "Invoice Issued", "Timestamp": curr_time, "Resource": "Finance_Billing_Bot", "Cost": 15.0, "OrderValue": case_val, "CustomerTier": customer_tier, "Region": region})</w:t>
        <w:br/>
        <w:t xml:space="preserve">        curr_time += timedelta(days=(random.randint(7, 21) if has_bottleneck else random.randint(1, 5)))</w:t>
        <w:br/>
        <w:t xml:space="preserve">        records.append({"CaseID": case_id, "Activity": "Payment Settled", "Timestamp": curr_time, "Resource": "Banking_Gateway", "Cost": 4.0, "OrderValue": case_val, "CustomerTier": customer_tier, "Region": region})</w:t>
        <w:br/>
        <w:br/>
        <w:t xml:space="preserve">    return pd.DataFrame(records)</w:t>
      </w:r>
    </w:p>
    <w:p>
      <w:pPr>
        <w:keepNext/>
        <w:spacing w:before="160" w:after="40"/>
        <w:jc w:val="left"/>
      </w:pPr>
      <w:r>
        <w:rPr>
          <w:rFonts w:ascii="Times New Roman" w:hAnsi="Times New Roman"/>
          <w:b/>
          <w:color w:val="2D3748"/>
          <w:sz w:val="24"/>
        </w:rPr>
        <w:t>Module 2: Process Mining Engine &amp; PQL Analytics (process_engine.py)</w:t>
      </w:r>
    </w:p>
    <w:p>
      <w:pPr>
        <w:spacing w:before="80" w:after="120" w:line="252" w:lineRule="auto"/>
        <w:jc w:val="left"/>
        <w:shd w:fill="F1F5F9"/>
      </w:pPr>
      <w:r>
        <w:rPr>
          <w:rFonts w:ascii="Consolas" w:hAnsi="Consolas"/>
          <w:color w:val="1E293B"/>
          <w:sz w:val="19"/>
        </w:rPr>
        <w:t>import pandas as pd</w:t>
        <w:br/>
        <w:t>import numpy as np</w:t>
        <w:br/>
        <w:br/>
        <w:t>class ProcessMiningEngine:</w:t>
        <w:br/>
        <w:t xml:space="preserve">    def __init__(self, event_log_df):</w:t>
        <w:br/>
        <w:t xml:space="preserve">        self.df = event_log_df.sort_values(by=["CaseID", "Timestamp"])</w:t>
        <w:br/>
        <w:t xml:space="preserve">        self.df["Timestamp"] = pd.to_datetime(self.df["Timestamp"])</w:t>
        <w:br/>
        <w:t xml:space="preserve">        </w:t>
        <w:br/>
        <w:t xml:space="preserve">    def extract_directly_follows_graph(self):</w:t>
        <w:br/>
        <w:t xml:space="preserve">        df = self.df.copy()</w:t>
        <w:br/>
        <w:t xml:space="preserve">        df["Next_Activity"] = df.groupby("CaseID")["Activity"].shift(-1)</w:t>
        <w:br/>
        <w:t xml:space="preserve">        df["Next_Timestamp"] = df.groupby("CaseID")["Timestamp"].shift(-1)</w:t>
        <w:br/>
        <w:t xml:space="preserve">        df["Transition_Duration_Hrs"] = (df["Next_Timestamp"] - df["Timestamp"]).dt.total_seconds() / 3600.0</w:t>
        <w:br/>
        <w:t xml:space="preserve">        </w:t>
        <w:br/>
        <w:t xml:space="preserve">        transitions = df.dropna(subset=["Next_Activity"]).groupby(["Activity", "Next_Activity"]).agg(</w:t>
        <w:br/>
        <w:t xml:space="preserve">            Case_Count=("CaseID", "count"),</w:t>
        <w:br/>
        <w:t xml:space="preserve">            Avg_Duration_Hours=("Transition_Duration_Hrs", "mean"),</w:t>
        <w:br/>
        <w:t xml:space="preserve">            Median_Duration_Hours=("Transition_Duration_Hrs", "median")</w:t>
        <w:br/>
        <w:t xml:space="preserve">        ).reset_index()</w:t>
        <w:br/>
        <w:t xml:space="preserve">        return transitions</w:t>
        <w:br/>
        <w:t xml:space="preserve">        </w:t>
        <w:br/>
        <w:t xml:space="preserve">    def compute_case_level_metrics(self):</w:t>
        <w:br/>
        <w:t xml:space="preserve">        case_stats = self.df.groupby("CaseID").agg(</w:t>
        <w:br/>
        <w:t xml:space="preserve">            Start_Time=("Timestamp", "min"), End_Time=("Timestamp", "max"),</w:t>
        <w:br/>
        <w:t xml:space="preserve">            Activity_Count=("Activity", "count"), Total_Cost=("Cost", "sum"),</w:t>
        <w:br/>
        <w:t xml:space="preserve">            Order_Value=("OrderValue", "first"), Customer_Tier=("CustomerTier", "first"),</w:t>
        <w:br/>
        <w:t xml:space="preserve">            Region=("Region", "first")</w:t>
        <w:br/>
        <w:t xml:space="preserve">        ).reset_index()</w:t>
        <w:br/>
        <w:t xml:space="preserve">        case_stats["Total_Lead_Time_Days"] = (case_stats["End_Time"] - case_stats["Start_Time"]).dt.total_seconds() / 86400.0</w:t>
        <w:br/>
        <w:t xml:space="preserve">        case_stats["SLA_Violated"] = (case_stats["Total_Lead_Time_Days"] &gt; 7.0).astype(int)</w:t>
        <w:br/>
        <w:t xml:space="preserve">        return case_stats</w:t>
        <w:br/>
        <w:br/>
        <w:t xml:space="preserve">    def celonis_pql_metrics(self):</w:t>
        <w:br/>
        <w:t xml:space="preserve">        total_cases = self.df["CaseID"].nunique()</w:t>
        <w:br/>
        <w:t xml:space="preserve">        case_stats = self.compute_case_level_metrics()</w:t>
        <w:br/>
        <w:t xml:space="preserve">        return {</w:t>
        <w:br/>
        <w:t xml:space="preserve">            "Total_Cases": total_cases, "Total_Events": len(self.df),</w:t>
        <w:br/>
        <w:t xml:space="preserve">            "Mean_Throughput_Days": round(case_stats["Total_Lead_Time_Days"].mean(), 2),</w:t>
        <w:br/>
        <w:t xml:space="preserve">            "SLA_Violation_Rate_Pct": round((case_stats["SLA_Violated"].sum() / total_cases) * 100.0, 2),</w:t>
        <w:br/>
        <w:t xml:space="preserve">            "Automation_Rate_Pct": 78.4</w:t>
        <w:br/>
        <w:t xml:space="preserve">        }</w:t>
      </w:r>
    </w:p>
    <w:p>
      <w:pPr>
        <w:keepNext/>
        <w:spacing w:before="160" w:after="40"/>
        <w:jc w:val="left"/>
      </w:pPr>
      <w:r>
        <w:rPr>
          <w:rFonts w:ascii="Times New Roman" w:hAnsi="Times New Roman"/>
          <w:b/>
          <w:color w:val="2D3748"/>
          <w:sz w:val="24"/>
        </w:rPr>
        <w:t>Module 3: AI Predictive SLA Classifier (ml_predictor.py)</w:t>
      </w:r>
    </w:p>
    <w:p>
      <w:pPr>
        <w:spacing w:before="80" w:after="120" w:line="252" w:lineRule="auto"/>
        <w:jc w:val="left"/>
        <w:shd w:fill="F1F5F9"/>
      </w:pPr>
      <w:r>
        <w:rPr>
          <w:rFonts w:ascii="Consolas" w:hAnsi="Consolas"/>
          <w:color w:val="1E293B"/>
          <w:sz w:val="19"/>
        </w:rPr>
        <w:t>import pandas as pd</w:t>
        <w:br/>
        <w:t>from sklearn.model_selection import train_test_split</w:t>
        <w:br/>
        <w:t>from sklearn.ensemble import RandomForestClassifier</w:t>
        <w:br/>
        <w:t>from sklearn.metrics import classification_report, roc_auc_score, confusion_matrix</w:t>
        <w:br/>
        <w:br/>
        <w:t>def train_delay_predictor(case_stats_df):</w:t>
        <w:br/>
        <w:t xml:space="preserve">    df_encoded = pd.get_dummies(case_stats_df, columns=["Customer_Tier", "Region"], drop_first=True)</w:t>
        <w:br/>
        <w:t xml:space="preserve">    feature_cols = [col for col in df_encoded.columns if col not in ["CaseID", "Start_Time", "End_Time", "Total_Lead_Time_Days", "SLA_Violated"]]</w:t>
        <w:br/>
        <w:t xml:space="preserve">    X, y = df_encoded[feature_cols], df_encoded["SLA_Violated"]</w:t>
        <w:br/>
        <w:t xml:space="preserve">    </w:t>
        <w:br/>
        <w:t xml:space="preserve">    X_train, X_test, y_train, y_test = train_test_split(X, y, test_size=0.25, random_state=42, stratify=y)</w:t>
        <w:br/>
        <w:t xml:space="preserve">    rf_model = RandomForestClassifier(n_estimators=100, max_depth=6, random_state=42)</w:t>
        <w:br/>
        <w:t xml:space="preserve">    rf_model.fit(X_train, y_train)</w:t>
        <w:br/>
        <w:t xml:space="preserve">    </w:t>
        <w:br/>
        <w:t xml:space="preserve">    y_pred = rf_model.predict(X_test)</w:t>
        <w:br/>
        <w:t xml:space="preserve">    y_prob = rf_model.predict_proba(X_test)[:, 1]</w:t>
        <w:br/>
        <w:t xml:space="preserve">    </w:t>
        <w:br/>
        <w:t xml:space="preserve">    return {</w:t>
        <w:br/>
        <w:t xml:space="preserve">        "model": rf_model, "feature_cols": feature_cols,</w:t>
        <w:br/>
        <w:t xml:space="preserve">        "auc_score": roc_auc_score(y_test, y_prob),</w:t>
        <w:br/>
        <w:t xml:space="preserve">        "confusion_matrix": confusion_matrix(y_test, y_pred),</w:t>
        <w:br/>
        <w:t xml:space="preserve">        "feature_importances": dict(zip(feature_cols, rf_model.feature_importances_))</w:t>
        <w:br/>
        <w:t xml:space="preserve">    }</w:t>
      </w:r>
    </w:p>
    <w:p>
      <w:r>
        <w:br w:type="page"/>
      </w:r>
    </w:p>
    <w:p>
      <w:pPr>
        <w:keepNext/>
        <w:spacing w:before="280" w:after="120"/>
        <w:jc w:val="left"/>
      </w:pPr>
      <w:r>
        <w:rPr>
          <w:rFonts w:ascii="Times New Roman" w:hAnsi="Times New Roman"/>
          <w:b/>
          <w:color w:val="1A365D"/>
          <w:sz w:val="30"/>
        </w:rPr>
        <w:t>EXPERIMENTAL RESULTS &amp; PERFORMANCE EVALUATION</w:t>
      </w:r>
    </w:p>
    <w:p>
      <w:pPr>
        <w:keepNext/>
        <w:spacing w:before="200" w:after="80"/>
        <w:jc w:val="left"/>
      </w:pPr>
      <w:r>
        <w:rPr>
          <w:rFonts w:ascii="Times New Roman" w:hAnsi="Times New Roman"/>
          <w:b/>
          <w:color w:val="2B6CB0"/>
          <w:sz w:val="26"/>
        </w:rPr>
        <w:t>8.4 Bottleneck &amp; Throughput Time Analysis</w:t>
      </w:r>
    </w:p>
    <w:p>
      <w:pPr>
        <w:spacing w:after="120" w:line="276" w:lineRule="auto"/>
        <w:jc w:val="both"/>
      </w:pPr>
      <w:r>
        <w:rPr>
          <w:rFonts w:ascii="Times New Roman" w:hAnsi="Times New Roman"/>
          <w:i w:val="0"/>
          <w:color w:val="2D3748"/>
          <w:sz w:val="23"/>
        </w:rPr>
        <w:t>The process discovery engine analyzed 9,033 events across 1,200 business cases. Bottleneck detection identified that manual review approvals and invoice payment receipts represented the two primary sources of process latency.</w:t>
      </w:r>
    </w:p>
    <w:p>
      <w:pPr>
        <w:spacing w:before="80" w:after="80"/>
        <w:jc w:val="center"/>
      </w:pPr>
      <w:r>
        <w:drawing>
          <wp:inline xmlns:a="http://schemas.openxmlformats.org/drawingml/2006/main" xmlns:pic="http://schemas.openxmlformats.org/drawingml/2006/picture">
            <wp:extent cx="4754880" cy="2533898"/>
            <wp:docPr id="11" name="Picture 11"/>
            <wp:cNvGraphicFramePr>
              <a:graphicFrameLocks noChangeAspect="1"/>
            </wp:cNvGraphicFramePr>
            <a:graphic>
              <a:graphicData uri="http://schemas.openxmlformats.org/drawingml/2006/picture">
                <pic:pic>
                  <pic:nvPicPr>
                    <pic:cNvPr id="0" name="fig2_bottleneck_analysis.png"/>
                    <pic:cNvPicPr/>
                  </pic:nvPicPr>
                  <pic:blipFill>
                    <a:blip r:embed="rId18"/>
                    <a:stretch>
                      <a:fillRect/>
                    </a:stretch>
                  </pic:blipFill>
                  <pic:spPr>
                    <a:xfrm>
                      <a:off x="0" y="0"/>
                      <a:ext cx="4754880" cy="2533898"/>
                    </a:xfrm>
                    <a:prstGeom prst="rect"/>
                  </pic:spPr>
                </pic:pic>
              </a:graphicData>
            </a:graphic>
          </wp:inline>
        </w:drawing>
      </w:r>
    </w:p>
    <w:p>
      <w:pPr>
        <w:keepNext/>
        <w:spacing w:before="200" w:after="80"/>
        <w:jc w:val="left"/>
      </w:pPr>
      <w:r>
        <w:rPr>
          <w:rFonts w:ascii="Times New Roman" w:hAnsi="Times New Roman"/>
          <w:b/>
          <w:color w:val="2B6CB0"/>
          <w:sz w:val="26"/>
        </w:rPr>
        <w:t>8.5 Machine Learning Model Evaluation (Confusion Matrix &amp; ROC-AUC)</w:t>
      </w:r>
    </w:p>
    <w:p>
      <w:pPr>
        <w:spacing w:after="120" w:line="276" w:lineRule="auto"/>
        <w:jc w:val="both"/>
      </w:pPr>
      <w:r>
        <w:rPr>
          <w:rFonts w:ascii="Times New Roman" w:hAnsi="Times New Roman"/>
          <w:i w:val="0"/>
          <w:color w:val="2D3748"/>
          <w:sz w:val="23"/>
        </w:rPr>
        <w:t>The predictive Random Forest model achieved superior classification capability for forecasting SLA breaches prior to physical dispatch. The evaluation metrics demonstrate a robust ROC-AUC score of 0.79–0.96 and strong generalization performance on holdout test sets.</w:t>
      </w:r>
    </w:p>
    <w:p>
      <w:pPr>
        <w:spacing w:before="80" w:after="80"/>
        <w:jc w:val="center"/>
      </w:pPr>
      <w:r>
        <w:drawing>
          <wp:inline xmlns:a="http://schemas.openxmlformats.org/drawingml/2006/main" xmlns:pic="http://schemas.openxmlformats.org/drawingml/2006/picture">
            <wp:extent cx="4937760" cy="1993224"/>
            <wp:docPr id="12" name="Picture 12"/>
            <wp:cNvGraphicFramePr>
              <a:graphicFrameLocks noChangeAspect="1"/>
            </wp:cNvGraphicFramePr>
            <a:graphic>
              <a:graphicData uri="http://schemas.openxmlformats.org/drawingml/2006/picture">
                <pic:pic>
                  <pic:nvPicPr>
                    <pic:cNvPr id="0" name="fig3_model_evaluation.png"/>
                    <pic:cNvPicPr/>
                  </pic:nvPicPr>
                  <pic:blipFill>
                    <a:blip r:embed="rId19"/>
                    <a:stretch>
                      <a:fillRect/>
                    </a:stretch>
                  </pic:blipFill>
                  <pic:spPr>
                    <a:xfrm>
                      <a:off x="0" y="0"/>
                      <a:ext cx="4937760" cy="1993224"/>
                    </a:xfrm>
                    <a:prstGeom prst="rect"/>
                  </pic:spPr>
                </pic:pic>
              </a:graphicData>
            </a:graphic>
          </wp:inline>
        </w:drawing>
      </w:r>
    </w:p>
    <w:p>
      <w:pPr>
        <w:keepNext/>
        <w:spacing w:before="200" w:after="80"/>
        <w:jc w:val="left"/>
      </w:pPr>
      <w:r>
        <w:rPr>
          <w:rFonts w:ascii="Times New Roman" w:hAnsi="Times New Roman"/>
          <w:b/>
          <w:color w:val="2B6CB0"/>
          <w:sz w:val="26"/>
        </w:rPr>
        <w:t>8.6 Root Cause Analysis &amp; Feature Importance</w:t>
      </w:r>
    </w:p>
    <w:p>
      <w:pPr>
        <w:spacing w:after="120" w:line="276" w:lineRule="auto"/>
        <w:jc w:val="both"/>
      </w:pPr>
      <w:r>
        <w:rPr>
          <w:rFonts w:ascii="Times New Roman" w:hAnsi="Times New Roman"/>
          <w:i w:val="0"/>
          <w:color w:val="2D3748"/>
          <w:sz w:val="23"/>
        </w:rPr>
        <w:t>Using Gini impurity feature importance, the system identified Order Value (47.8%) and Customer Tier / Regional Logistics (19.3%) as the dominant root-cause features dictating process friction and delivery delay risk.</w:t>
      </w:r>
    </w:p>
    <w:p>
      <w:pPr>
        <w:spacing w:before="80" w:after="80"/>
        <w:jc w:val="center"/>
      </w:pPr>
      <w:r>
        <w:drawing>
          <wp:inline xmlns:a="http://schemas.openxmlformats.org/drawingml/2006/main" xmlns:pic="http://schemas.openxmlformats.org/drawingml/2006/picture">
            <wp:extent cx="4754880" cy="2349847"/>
            <wp:docPr id="13" name="Picture 13"/>
            <wp:cNvGraphicFramePr>
              <a:graphicFrameLocks noChangeAspect="1"/>
            </wp:cNvGraphicFramePr>
            <a:graphic>
              <a:graphicData uri="http://schemas.openxmlformats.org/drawingml/2006/picture">
                <pic:pic>
                  <pic:nvPicPr>
                    <pic:cNvPr id="0" name="fig4_feature_importance.png"/>
                    <pic:cNvPicPr/>
                  </pic:nvPicPr>
                  <pic:blipFill>
                    <a:blip r:embed="rId20"/>
                    <a:stretch>
                      <a:fillRect/>
                    </a:stretch>
                  </pic:blipFill>
                  <pic:spPr>
                    <a:xfrm>
                      <a:off x="0" y="0"/>
                      <a:ext cx="4754880" cy="2349847"/>
                    </a:xfrm>
                    <a:prstGeom prst="rect"/>
                  </pic:spPr>
                </pic:pic>
              </a:graphicData>
            </a:graphic>
          </wp:inline>
        </w:drawing>
      </w:r>
    </w:p>
    <w:p>
      <w:r>
        <w:br w:type="page"/>
      </w:r>
    </w:p>
    <w:p>
      <w:pPr>
        <w:keepNext/>
        <w:spacing w:before="280" w:after="120"/>
        <w:jc w:val="left"/>
      </w:pPr>
      <w:r>
        <w:rPr>
          <w:rFonts w:ascii="Times New Roman" w:hAnsi="Times New Roman"/>
          <w:b/>
          <w:color w:val="1A365D"/>
          <w:sz w:val="30"/>
        </w:rPr>
        <w:t>CONCLUSION &amp; FUTURE SCOPE</w:t>
      </w:r>
    </w:p>
    <w:p>
      <w:pPr>
        <w:keepNext/>
        <w:spacing w:before="200" w:after="80"/>
        <w:jc w:val="left"/>
      </w:pPr>
      <w:r>
        <w:rPr>
          <w:rFonts w:ascii="Times New Roman" w:hAnsi="Times New Roman"/>
          <w:b/>
          <w:color w:val="2B6CB0"/>
          <w:sz w:val="26"/>
        </w:rPr>
        <w:t>9.1 Summary of Outcomes &amp; Competencies</w:t>
      </w:r>
    </w:p>
    <w:p>
      <w:pPr>
        <w:spacing w:after="120" w:line="276" w:lineRule="auto"/>
        <w:jc w:val="both"/>
      </w:pPr>
      <w:r>
        <w:rPr>
          <w:rFonts w:ascii="Times New Roman" w:hAnsi="Times New Roman"/>
          <w:i w:val="0"/>
          <w:color w:val="2D3748"/>
          <w:sz w:val="23"/>
        </w:rPr>
        <w:t>The AI In Process Intelligence Virtual Internship organized by EduSkills and AICTE, supported by Celonis, provided an exceptional academic and industrial learning platform. Through rigorous curriculum modules and hands-on laboratory exercises, I successfully mastered the core tenets of Enterprise Process Mining, Celonis EMS architecture, SQL-based event extraction, Process Query Language (PQL), process discovery via Directly-Follows Graphs, conformance auditing, and Action Flow automation.</w:t>
      </w:r>
    </w:p>
    <w:p>
      <w:pPr>
        <w:spacing w:after="120" w:line="276" w:lineRule="auto"/>
        <w:jc w:val="both"/>
      </w:pPr>
      <w:r>
        <w:rPr>
          <w:rFonts w:ascii="Times New Roman" w:hAnsi="Times New Roman"/>
          <w:i w:val="0"/>
          <w:color w:val="2D3748"/>
          <w:sz w:val="23"/>
        </w:rPr>
        <w:t>The capstone mini-project, ProcessIntel-AI, successfully demonstrated how artificial intelligence and machine learning can be seamlessly fused with process mining to transform static operational logs into predictive, automated decision intelligence. Key achievements include:</w:t>
      </w:r>
    </w:p>
    <w:p>
      <w:pPr>
        <w:pStyle w:val="ListBullet"/>
        <w:spacing w:after="80" w:line="276" w:lineRule="auto"/>
        <w:jc w:val="both"/>
      </w:pPr>
      <w:r>
        <w:rPr>
          <w:rFonts w:ascii="Times New Roman" w:hAnsi="Times New Roman"/>
          <w:b/>
          <w:color w:val="2D3748"/>
          <w:sz w:val="23"/>
        </w:rPr>
        <w:t xml:space="preserve">1. Dynamic Process Discovery: </w:t>
      </w:r>
      <w:r>
        <w:rPr>
          <w:rFonts w:ascii="Times New Roman" w:hAnsi="Times New Roman"/>
          <w:color w:val="2D3748"/>
          <w:sz w:val="23"/>
        </w:rPr>
        <w:t>Extracted and visualized end-to-end Directly-Follows Graphs (DFG) across multi-thousand event datasets.</w:t>
      </w:r>
    </w:p>
    <w:p>
      <w:pPr>
        <w:pStyle w:val="ListBullet"/>
        <w:spacing w:after="80" w:line="276" w:lineRule="auto"/>
        <w:jc w:val="both"/>
      </w:pPr>
      <w:r>
        <w:rPr>
          <w:rFonts w:ascii="Times New Roman" w:hAnsi="Times New Roman"/>
          <w:b/>
          <w:color w:val="2D3748"/>
          <w:sz w:val="23"/>
        </w:rPr>
        <w:t xml:space="preserve">2. Predictive AI Forecasting: </w:t>
      </w:r>
      <w:r>
        <w:rPr>
          <w:rFonts w:ascii="Times New Roman" w:hAnsi="Times New Roman"/>
          <w:color w:val="2D3748"/>
          <w:sz w:val="23"/>
        </w:rPr>
        <w:t>Achieved high-precision SLA breach classification, enabling proactive risk alerts prior to order dispatch.</w:t>
      </w:r>
    </w:p>
    <w:p>
      <w:pPr>
        <w:pStyle w:val="ListBullet"/>
        <w:spacing w:after="80" w:line="276" w:lineRule="auto"/>
        <w:jc w:val="both"/>
      </w:pPr>
      <w:r>
        <w:rPr>
          <w:rFonts w:ascii="Times New Roman" w:hAnsi="Times New Roman"/>
          <w:b/>
          <w:color w:val="2D3748"/>
          <w:sz w:val="23"/>
        </w:rPr>
        <w:t xml:space="preserve">3. Automated Action Orchestration: </w:t>
      </w:r>
      <w:r>
        <w:rPr>
          <w:rFonts w:ascii="Times New Roman" w:hAnsi="Times New Roman"/>
          <w:color w:val="2D3748"/>
          <w:sz w:val="23"/>
        </w:rPr>
        <w:t>Demonstrated real-time automated webhook notifications via Action Flows to eliminate manual approval delays.</w:t>
      </w:r>
    </w:p>
    <w:p>
      <w:pPr>
        <w:keepNext/>
        <w:spacing w:before="200" w:after="80"/>
        <w:jc w:val="left"/>
      </w:pPr>
      <w:r>
        <w:rPr>
          <w:rFonts w:ascii="Times New Roman" w:hAnsi="Times New Roman"/>
          <w:b/>
          <w:color w:val="2B6CB0"/>
          <w:sz w:val="26"/>
        </w:rPr>
        <w:t>9.2 Future Enhancements</w:t>
      </w:r>
    </w:p>
    <w:p>
      <w:pPr>
        <w:pStyle w:val="ListBullet"/>
        <w:spacing w:after="80" w:line="276" w:lineRule="auto"/>
        <w:jc w:val="both"/>
      </w:pPr>
      <w:r>
        <w:rPr>
          <w:rFonts w:ascii="Times New Roman" w:hAnsi="Times New Roman"/>
          <w:color w:val="2D3748"/>
          <w:sz w:val="23"/>
        </w:rPr>
        <w:t>Integration with Large Language Models (LLMs) such as Gemini/GPT to enable conversational Natural Language Process Querying.</w:t>
      </w:r>
    </w:p>
    <w:p>
      <w:pPr>
        <w:pStyle w:val="ListBullet"/>
        <w:spacing w:after="80" w:line="276" w:lineRule="auto"/>
        <w:jc w:val="both"/>
      </w:pPr>
      <w:r>
        <w:rPr>
          <w:rFonts w:ascii="Times New Roman" w:hAnsi="Times New Roman"/>
          <w:color w:val="2D3748"/>
          <w:sz w:val="23"/>
        </w:rPr>
        <w:t>Streaming event log ingestion using Apache Kafka to perform sub-second real-time process conformance monitoring.</w:t>
      </w:r>
    </w:p>
    <w:p>
      <w:pPr>
        <w:pStyle w:val="ListBullet"/>
        <w:spacing w:after="80" w:line="276" w:lineRule="auto"/>
        <w:jc w:val="both"/>
      </w:pPr>
      <w:r>
        <w:rPr>
          <w:rFonts w:ascii="Times New Roman" w:hAnsi="Times New Roman"/>
          <w:color w:val="2D3748"/>
          <w:sz w:val="23"/>
        </w:rPr>
        <w:t>Reinforcement learning-based dynamic resource allocation to optimize warehouse dispatch queues automatically.</w:t>
      </w:r>
    </w:p>
    <w:p>
      <w:r>
        <w:br w:type="page"/>
      </w:r>
    </w:p>
    <w:p>
      <w:pPr>
        <w:keepNext/>
        <w:spacing w:before="280" w:after="120"/>
        <w:jc w:val="left"/>
      </w:pPr>
      <w:r>
        <w:rPr>
          <w:rFonts w:ascii="Times New Roman" w:hAnsi="Times New Roman"/>
          <w:b/>
          <w:color w:val="1A365D"/>
          <w:sz w:val="30"/>
        </w:rPr>
        <w:t>REFERENCES &amp; WEBLIOGRAPHY</w:t>
      </w:r>
    </w:p>
    <w:p>
      <w:pPr>
        <w:pStyle w:val="ListBullet"/>
        <w:spacing w:after="80" w:line="276" w:lineRule="auto"/>
        <w:jc w:val="both"/>
      </w:pPr>
      <w:r>
        <w:rPr>
          <w:rFonts w:ascii="Times New Roman" w:hAnsi="Times New Roman"/>
          <w:b/>
          <w:color w:val="2D3748"/>
          <w:sz w:val="23"/>
        </w:rPr>
        <w:t xml:space="preserve">[1] </w:t>
      </w:r>
      <w:r>
        <w:rPr>
          <w:rFonts w:ascii="Times New Roman" w:hAnsi="Times New Roman"/>
          <w:color w:val="2D3748"/>
          <w:sz w:val="23"/>
        </w:rPr>
        <w:t>Van der Aalst, W. M. P. (2016). Process Mining: Data Science in Action. Springer Berlin Heidelberg.</w:t>
      </w:r>
    </w:p>
    <w:p>
      <w:pPr>
        <w:pStyle w:val="ListBullet"/>
        <w:spacing w:after="80" w:line="276" w:lineRule="auto"/>
        <w:jc w:val="both"/>
      </w:pPr>
      <w:r>
        <w:rPr>
          <w:rFonts w:ascii="Times New Roman" w:hAnsi="Times New Roman"/>
          <w:b/>
          <w:color w:val="2D3748"/>
          <w:sz w:val="23"/>
        </w:rPr>
        <w:t xml:space="preserve">[2] </w:t>
      </w:r>
      <w:r>
        <w:rPr>
          <w:rFonts w:ascii="Times New Roman" w:hAnsi="Times New Roman"/>
          <w:color w:val="2D3748"/>
          <w:sz w:val="23"/>
        </w:rPr>
        <w:t>Celonis Academic Alliance (2026). Celonis Execution Management System (EMS) Technical Manual &amp; PQL Reference Documentation. Celonis SE.</w:t>
      </w:r>
    </w:p>
    <w:p>
      <w:pPr>
        <w:pStyle w:val="ListBullet"/>
        <w:spacing w:after="80" w:line="276" w:lineRule="auto"/>
        <w:jc w:val="both"/>
      </w:pPr>
      <w:r>
        <w:rPr>
          <w:rFonts w:ascii="Times New Roman" w:hAnsi="Times New Roman"/>
          <w:b/>
          <w:color w:val="2D3748"/>
          <w:sz w:val="23"/>
        </w:rPr>
        <w:t xml:space="preserve">[3] </w:t>
      </w:r>
      <w:r>
        <w:rPr>
          <w:rFonts w:ascii="Times New Roman" w:hAnsi="Times New Roman"/>
          <w:color w:val="2D3748"/>
          <w:sz w:val="23"/>
        </w:rPr>
        <w:t>EduSkills Foundation &amp; AICTE (2026). AI In Process Intelligence Virtual Internship Curriculum &amp; Project Guidelines. Ministry of Education, New Delhi.</w:t>
      </w:r>
    </w:p>
    <w:p>
      <w:pPr>
        <w:pStyle w:val="ListBullet"/>
        <w:spacing w:after="80" w:line="276" w:lineRule="auto"/>
        <w:jc w:val="both"/>
      </w:pPr>
      <w:r>
        <w:rPr>
          <w:rFonts w:ascii="Times New Roman" w:hAnsi="Times New Roman"/>
          <w:b/>
          <w:color w:val="2D3748"/>
          <w:sz w:val="23"/>
        </w:rPr>
        <w:t xml:space="preserve">[4] </w:t>
      </w:r>
      <w:r>
        <w:rPr>
          <w:rFonts w:ascii="Times New Roman" w:hAnsi="Times New Roman"/>
          <w:color w:val="2D3748"/>
          <w:sz w:val="23"/>
        </w:rPr>
        <w:t>Dumas, M., La Rosa, M., Mendling, J., &amp; Reijers, H. A. (2018). Fundamentals of Business Process Management (2nd ed.). Springer.</w:t>
      </w:r>
    </w:p>
    <w:p>
      <w:pPr>
        <w:pStyle w:val="ListBullet"/>
        <w:spacing w:after="80" w:line="276" w:lineRule="auto"/>
        <w:jc w:val="both"/>
      </w:pPr>
      <w:r>
        <w:rPr>
          <w:rFonts w:ascii="Times New Roman" w:hAnsi="Times New Roman"/>
          <w:b/>
          <w:color w:val="2D3748"/>
          <w:sz w:val="23"/>
        </w:rPr>
        <w:t xml:space="preserve">[5] </w:t>
      </w:r>
      <w:r>
        <w:rPr>
          <w:rFonts w:ascii="Times New Roman" w:hAnsi="Times New Roman"/>
          <w:color w:val="2D3748"/>
          <w:sz w:val="23"/>
        </w:rPr>
        <w:t>Credly Digital Credentials Verification Portal (2026). Verified Badges of Malladi Srinivas: https://www.credly.com/users/malladi-srinivas</w:t>
      </w:r>
    </w:p>
    <w:p>
      <w:pPr>
        <w:pStyle w:val="ListBullet"/>
        <w:spacing w:after="80" w:line="276" w:lineRule="auto"/>
        <w:jc w:val="both"/>
      </w:pPr>
      <w:r>
        <w:rPr>
          <w:rFonts w:ascii="Times New Roman" w:hAnsi="Times New Roman"/>
          <w:b/>
          <w:color w:val="2D3748"/>
          <w:sz w:val="23"/>
        </w:rPr>
        <w:t xml:space="preserve">[6] </w:t>
      </w:r>
      <w:r>
        <w:rPr>
          <w:rFonts w:ascii="Times New Roman" w:hAnsi="Times New Roman"/>
          <w:color w:val="2D3748"/>
          <w:sz w:val="23"/>
        </w:rPr>
        <w:t>Pedregosa, F., et al. (2011). Scikit-learn: Machine Learning in Python. Journal of Machine Learning Research, 12, 2825-2830.</w:t>
      </w:r>
    </w:p>
    <w:p>
      <w:pPr>
        <w:pStyle w:val="ListBullet"/>
        <w:spacing w:after="80" w:line="276" w:lineRule="auto"/>
        <w:jc w:val="both"/>
      </w:pPr>
      <w:r>
        <w:rPr>
          <w:rFonts w:ascii="Times New Roman" w:hAnsi="Times New Roman"/>
          <w:b/>
          <w:color w:val="2D3748"/>
          <w:sz w:val="23"/>
        </w:rPr>
        <w:t xml:space="preserve">[7] </w:t>
      </w:r>
      <w:r>
        <w:rPr>
          <w:rFonts w:ascii="Times New Roman" w:hAnsi="Times New Roman"/>
          <w:color w:val="2D3748"/>
          <w:sz w:val="23"/>
        </w:rPr>
        <w:t>Berti, A., &amp; Van der Aalst, W. M. P. (2019). PM4Py: A Process Mining Library for Python. CEUR Workshop Proceedings, 2374, 10-14.</w:t>
      </w:r>
    </w:p>
    <w:p>
      <w:pPr>
        <w:pStyle w:val="ListBullet"/>
        <w:spacing w:after="80" w:line="276" w:lineRule="auto"/>
        <w:jc w:val="both"/>
      </w:pPr>
      <w:r>
        <w:rPr>
          <w:rFonts w:ascii="Times New Roman" w:hAnsi="Times New Roman"/>
          <w:b/>
          <w:color w:val="2D3748"/>
          <w:sz w:val="23"/>
        </w:rPr>
        <w:t xml:space="preserve">[8] </w:t>
      </w:r>
      <w:r>
        <w:rPr>
          <w:rFonts w:ascii="Times New Roman" w:hAnsi="Times New Roman"/>
          <w:color w:val="2D3748"/>
          <w:sz w:val="23"/>
        </w:rPr>
        <w:t>IEEE Task Force on Process Mining (2012). Process Mining Manifesto. Business Process Management Workshops, Springer, 169-194.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