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A357F">
      <w:pPr>
        <w:spacing w:after="60"/>
      </w:pPr>
    </w:p>
    <w:p w14:paraId="24EA70DE">
      <w:pPr>
        <w:spacing w:after="60"/>
      </w:pPr>
    </w:p>
    <w:p w14:paraId="23A2786C">
      <w:pPr>
        <w:spacing w:after="60"/>
      </w:pPr>
    </w:p>
    <w:p w14:paraId="13B4AB4B">
      <w:pPr>
        <w:spacing w:after="60"/>
      </w:pPr>
    </w:p>
    <w:p w14:paraId="5EAD8E6B">
      <w:pPr>
        <w:spacing w:after="40"/>
        <w:jc w:val="left"/>
      </w:pPr>
      <w:r>
        <w:rPr>
          <w:rFonts w:ascii="Arial" w:hAnsi="Arial" w:eastAsia="Arial" w:cs="Arial"/>
          <w:b/>
          <w:bCs/>
          <w:color w:val="1A1A2E"/>
          <w:sz w:val="72"/>
          <w:szCs w:val="72"/>
        </w:rPr>
        <w:t>Startup Launch</w:t>
      </w:r>
    </w:p>
    <w:p w14:paraId="72104A54">
      <w:pPr>
        <w:spacing w:after="120"/>
        <w:jc w:val="left"/>
      </w:pPr>
      <w:r>
        <w:rPr>
          <w:rFonts w:ascii="Arial" w:hAnsi="Arial" w:eastAsia="Arial" w:cs="Arial"/>
          <w:b w:val="0"/>
          <w:bCs w:val="0"/>
          <w:color w:val="333333"/>
          <w:sz w:val="48"/>
          <w:szCs w:val="48"/>
        </w:rPr>
        <w:t>End-to-End Workflows</w:t>
      </w:r>
    </w:p>
    <w:p w14:paraId="0EC6DADD">
      <w:pPr>
        <w:pBdr>
          <w:bottom w:val="single" w:color="1A1A2E" w:sz="6" w:space="4"/>
        </w:pBdr>
        <w:spacing w:after="160"/>
      </w:pPr>
    </w:p>
    <w:p w14:paraId="574DF221">
      <w:pPr>
        <w:spacing w:after="80"/>
      </w:pPr>
      <w:r>
        <w:rPr>
          <w:rFonts w:ascii="Arial" w:hAnsi="Arial" w:eastAsia="Arial" w:cs="Arial"/>
          <w:color w:val="555555"/>
          <w:sz w:val="22"/>
          <w:szCs w:val="22"/>
        </w:rPr>
        <w:t>8 end-to-end workflows covering every function from day zero to 50+ employees. Steps are sequenced by dependency, not by department.</w:t>
      </w:r>
    </w:p>
    <w:p w14:paraId="36C5A94F">
      <w:pPr>
        <w:spacing w:after="40"/>
      </w:pPr>
      <w:r>
        <w:rPr>
          <w:rFonts w:ascii="Arial" w:hAnsi="Arial" w:eastAsia="Arial" w:cs="Arial"/>
          <w:i/>
          <w:iCs/>
          <w:color w:val="999999"/>
          <w:sz w:val="20"/>
          <w:szCs w:val="20"/>
        </w:rPr>
        <w:t xml:space="preserve">Derived from: Startup Infrastructure Stack </w:t>
      </w:r>
      <w:r>
        <w:rPr>
          <w:rFonts w:hint="default" w:cs="Arial"/>
          <w:i/>
          <w:iCs/>
          <w:color w:val="999999"/>
          <w:sz w:val="20"/>
          <w:szCs w:val="20"/>
          <w:lang w:val="en-US"/>
        </w:rPr>
        <w:t>-</w:t>
      </w:r>
      <w:bookmarkStart w:id="0" w:name="_GoBack"/>
      <w:bookmarkEnd w:id="0"/>
      <w:r>
        <w:rPr>
          <w:rFonts w:ascii="Arial" w:hAnsi="Arial" w:eastAsia="Arial" w:cs="Arial"/>
          <w:i/>
          <w:iCs/>
          <w:color w:val="999999"/>
          <w:sz w:val="20"/>
          <w:szCs w:val="20"/>
        </w:rPr>
        <w:t xml:space="preserve"> Startup Critical Functions legend</w:t>
      </w:r>
    </w:p>
    <w:p w14:paraId="4311D675">
      <w:pPr>
        <w:spacing w:after="0"/>
      </w:pPr>
      <w:r>
        <w:br w:type="page"/>
      </w:r>
    </w:p>
    <w:p w14:paraId="38DED698">
      <w:pPr>
        <w:pStyle w:val="2"/>
      </w:pPr>
      <w:r>
        <w:t>How to Read This Document</w:t>
      </w:r>
    </w:p>
    <w:p w14:paraId="11BAD185">
      <w:pPr>
        <w:spacing w:after="100"/>
      </w:pPr>
      <w:r>
        <w:rPr>
          <w:rFonts w:ascii="Arial" w:hAnsi="Arial" w:eastAsia="Arial" w:cs="Arial"/>
          <w:sz w:val="22"/>
          <w:szCs w:val="22"/>
        </w:rPr>
        <w:t>Each workflow is a sequential, dependency-ordered list of steps. Steps are numbered and grouped into three stages: Launch (Day 0 to first customers), @10 Employees (the team is growing, processes need to be formalised), and @50 Employees (scale-ready operations). Stages are additive — each stage builds on the previous one.</w:t>
      </w:r>
    </w:p>
    <w:p w14:paraId="1DF695B2">
      <w:pPr>
        <w:spacing w:after="60"/>
      </w:pPr>
    </w:p>
    <w:p w14:paraId="399EB164">
      <w:pPr>
        <w:spacing w:after="100"/>
      </w:pPr>
      <w:r>
        <w:rPr>
          <w:rFonts w:ascii="Arial" w:hAnsi="Arial" w:eastAsia="Arial" w:cs="Arial"/>
          <w:sz w:val="22"/>
          <w:szCs w:val="22"/>
        </w:rPr>
        <w:t>A CRITICAL flag on a step means it is either time-gated, irreversible, or legally required with a hard deadline. These cannot be deprioritised.</w:t>
      </w:r>
    </w:p>
    <w:p w14:paraId="6EA1CB7E">
      <w:pPr>
        <w:spacing w:after="60"/>
      </w:pPr>
    </w:p>
    <w:p w14:paraId="644FE18B">
      <w:pPr>
        <w:spacing w:after="100"/>
      </w:pPr>
      <w:r>
        <w:rPr>
          <w:rFonts w:ascii="Arial" w:hAnsi="Arial" w:eastAsia="Arial" w:cs="Arial"/>
          <w:sz w:val="22"/>
          <w:szCs w:val="22"/>
        </w:rPr>
        <w:t>Workflows are cross-referenced where one step gates another across workflows. The eight workflows and their scope:</w:t>
      </w:r>
    </w:p>
    <w:p w14:paraId="0B869004">
      <w:pPr>
        <w:spacing w:after="60"/>
      </w:pPr>
    </w:p>
    <w:p w14:paraId="41FC22E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Workflow 1 — Business Formation: from idea to legally incorporated entity</w:t>
      </w:r>
    </w:p>
    <w:p w14:paraId="57B8EB0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Workflow 2 — IP &amp; Legal Contracts: ownership, confidentiality, and client agreements</w:t>
      </w:r>
    </w:p>
    <w:p w14:paraId="22E285B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Workflow 3 — Financial Infrastructure: banking to bookkeeping to payments</w:t>
      </w:r>
    </w:p>
    <w:p w14:paraId="3E77BF8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Workflow 4 — Technical Infrastructure: domain to production-ready stack</w:t>
      </w:r>
    </w:p>
    <w:p w14:paraId="5BF5C84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Workflow 5 — Brand &amp; Product Foundation: identity, design system, and product tooling</w:t>
      </w:r>
    </w:p>
    <w:p w14:paraId="735D931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Workflow 6 — People &amp; HR: founder docs to scaled HR function</w:t>
      </w:r>
    </w:p>
    <w:p w14:paraId="69006F0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Workflow 7 — Go-to-Market: ICP definition to repeatable sales motion</w:t>
      </w:r>
    </w:p>
    <w:p w14:paraId="29FC895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Workflow 8 — Operations &amp; Tooling: communications, access, and automation</w:t>
      </w:r>
    </w:p>
    <w:p w14:paraId="3E263E5D">
      <w:pPr>
        <w:spacing w:after="0"/>
      </w:pPr>
      <w:r>
        <w:br w:type="page"/>
      </w:r>
    </w:p>
    <w:p w14:paraId="77F4ECA6">
      <w:pPr>
        <w:pStyle w:val="2"/>
      </w:pPr>
      <w:r>
        <w:t>Workflow 1 — Business Formation</w:t>
      </w:r>
    </w:p>
    <w:p w14:paraId="51FC0530">
      <w:pPr>
        <w:spacing w:before="0" w:after="2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Take the company from concept to legally incorporated entity with all founding documents in place.</w:t>
      </w:r>
    </w:p>
    <w:p w14:paraId="5BE14DA5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LAUNCH — DAY 0 TO WEEK 2</w:t>
      </w:r>
    </w:p>
    <w:p w14:paraId="7BEF804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Name decision</w:t>
      </w:r>
      <w:r>
        <w:rPr>
          <w:rFonts w:ascii="Arial" w:hAnsi="Arial" w:eastAsia="Arial" w:cs="Arial"/>
          <w:sz w:val="22"/>
          <w:szCs w:val="22"/>
        </w:rPr>
        <w:t xml:space="preserve"> — Confirm the company name. Verify domain availability and social handles at the same time. Do not proceed to trademark or filing without this locked.</w:t>
      </w:r>
    </w:p>
    <w:p w14:paraId="5A3218D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Trademark pre-check</w:t>
      </w:r>
      <w:r>
        <w:rPr>
          <w:rFonts w:ascii="Arial" w:hAnsi="Arial" w:eastAsia="Arial" w:cs="Arial"/>
          <w:sz w:val="22"/>
          <w:szCs w:val="22"/>
        </w:rPr>
        <w:t xml:space="preserve"> — Run a USPTO TESS search before filing anything or spending on design. A conflicting registered mark means rebuilding everything.</w:t>
      </w:r>
      <w:r>
        <w:rPr>
          <w:rFonts w:ascii="Arial" w:hAnsi="Arial" w:eastAsia="Arial" w:cs="Arial"/>
          <w:b/>
          <w:bCs/>
          <w:color w:val="C00000"/>
          <w:sz w:val="22"/>
          <w:szCs w:val="22"/>
        </w:rPr>
        <w:t xml:space="preserve">  → Do before T-shirts, decks, or formation paperwork.</w:t>
      </w:r>
    </w:p>
    <w:p w14:paraId="5F89341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Entity type decision</w:t>
      </w:r>
      <w:r>
        <w:rPr>
          <w:rFonts w:ascii="Arial" w:hAnsi="Arial" w:eastAsia="Arial" w:cs="Arial"/>
          <w:sz w:val="22"/>
          <w:szCs w:val="22"/>
        </w:rPr>
        <w:t xml:space="preserve"> — Choose between LLC and C-Corp. Delaware C-Corp is the default for any company planning to raise VC funding. LLC for bootstrapped or holding structures only.</w:t>
      </w:r>
    </w:p>
    <w:p w14:paraId="0E7C6192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Jurisdiction selection</w:t>
      </w:r>
      <w:r>
        <w:rPr>
          <w:rFonts w:ascii="Arial" w:hAnsi="Arial" w:eastAsia="Arial" w:cs="Arial"/>
          <w:sz w:val="22"/>
          <w:szCs w:val="22"/>
        </w:rPr>
        <w:t xml:space="preserve"> — Delaware C-Corp is the standard for investor-backed companies regardless of where you operate. Register separately in your home state.</w:t>
      </w:r>
    </w:p>
    <w:p w14:paraId="3D28AD3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Equity split agreement</w:t>
      </w:r>
      <w:r>
        <w:rPr>
          <w:rFonts w:ascii="Arial" w:hAnsi="Arial" w:eastAsia="Arial" w:cs="Arial"/>
          <w:sz w:val="22"/>
          <w:szCs w:val="22"/>
        </w:rPr>
        <w:t xml:space="preserve"> — Define co-founder ownership percentages, vesting schedules, and departure clauses before filing. Standard vesting: 4 years, 1-year cliff.</w:t>
      </w:r>
    </w:p>
    <w:p w14:paraId="6CB94DB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File entity</w:t>
      </w:r>
      <w:r>
        <w:rPr>
          <w:rFonts w:ascii="Arial" w:hAnsi="Arial" w:eastAsia="Arial" w:cs="Arial"/>
          <w:sz w:val="22"/>
          <w:szCs w:val="22"/>
        </w:rPr>
        <w:t xml:space="preserve"> — Submit incorporation documents via Stripe Atlas, Clerky, or a registered agent. Delaware standard processing: 1–5 business days.</w:t>
      </w:r>
    </w:p>
    <w:p w14:paraId="2585AEC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Obtain EIN</w:t>
      </w:r>
      <w:r>
        <w:rPr>
          <w:rFonts w:ascii="Arial" w:hAnsi="Arial" w:eastAsia="Arial" w:cs="Arial"/>
          <w:sz w:val="22"/>
          <w:szCs w:val="22"/>
        </w:rPr>
        <w:t xml:space="preserve"> — Apply for a federal Employer Identification Number immediately after formation. Required for banking, tax, and payroll. IRS online form; same-day for US-based applicants.</w:t>
      </w:r>
    </w:p>
    <w:p w14:paraId="0B0952D2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Register for state taxes</w:t>
      </w:r>
      <w:r>
        <w:rPr>
          <w:rFonts w:ascii="Arial" w:hAnsi="Arial" w:eastAsia="Arial" w:cs="Arial"/>
          <w:sz w:val="22"/>
          <w:szCs w:val="22"/>
        </w:rPr>
        <w:t xml:space="preserve"> — Register in your home state and any state where employees will work: state income tax, payroll tax, and sales tax nexus as applicable.</w:t>
      </w:r>
    </w:p>
    <w:p w14:paraId="7ED8F9A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Appoint registered agent</w:t>
      </w:r>
      <w:r>
        <w:rPr>
          <w:rFonts w:ascii="Arial" w:hAnsi="Arial" w:eastAsia="Arial" w:cs="Arial"/>
          <w:sz w:val="22"/>
          <w:szCs w:val="22"/>
        </w:rPr>
        <w:t xml:space="preserve"> — Required in Delaware and every state where you're registered. Most formation services include Year 1. Renew annually.</w:t>
      </w:r>
    </w:p>
    <w:p w14:paraId="3565B3F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Open business bank account</w:t>
      </w:r>
      <w:r>
        <w:rPr>
          <w:rFonts w:ascii="Arial" w:hAnsi="Arial" w:eastAsia="Arial" w:cs="Arial"/>
          <w:sz w:val="22"/>
          <w:szCs w:val="22"/>
        </w:rPr>
        <w:t xml:space="preserve"> — Mercury or Relay. Requires EIN plus formation documents.</w:t>
      </w:r>
    </w:p>
    <w:p w14:paraId="6BD26552">
      <w:pPr>
        <w:spacing w:after="180"/>
        <w:ind w:left="64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 xml:space="preserve">Depends on:  </w:t>
      </w:r>
      <w:r>
        <w:rPr>
          <w:rFonts w:ascii="Arial" w:hAnsi="Arial" w:eastAsia="Arial" w:cs="Arial"/>
          <w:color w:val="666666"/>
          <w:sz w:val="20"/>
          <w:szCs w:val="20"/>
        </w:rPr>
        <w:t>Gates payroll, contractor payments, and card setup — Workflow 3 cannot start without this.</w:t>
      </w:r>
    </w:p>
    <w:p w14:paraId="698FD90D">
      <w:pPr>
        <w:pBdr>
          <w:left w:val="single" w:color="C00000" w:sz="12" w:space="8"/>
        </w:pBdr>
        <w:spacing w:before="120" w:after="160"/>
        <w:ind w:left="280"/>
      </w:pPr>
      <w:r>
        <w:rPr>
          <w:rFonts w:ascii="Arial" w:hAnsi="Arial" w:eastAsia="Arial" w:cs="Arial"/>
          <w:b/>
          <w:bCs/>
          <w:color w:val="C00000"/>
          <w:sz w:val="22"/>
          <w:szCs w:val="22"/>
        </w:rPr>
        <w:t>CRITICAL  83(b) ELECTION: Must be filed with the IRS within 30 calendar days of founder stock issuance. No extensions exist. Missing this deadline creates a major tax liability when shares vest. File immediately after stock is issued — see Workflow 2 Step 12.</w:t>
      </w:r>
    </w:p>
    <w:p w14:paraId="7E46652F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@10 EMPLOYEES — MONTH 3 TO 6</w:t>
      </w:r>
    </w:p>
    <w:p w14:paraId="19C1606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Foreign qualification</w:t>
      </w:r>
      <w:r>
        <w:rPr>
          <w:rFonts w:ascii="Arial" w:hAnsi="Arial" w:eastAsia="Arial" w:cs="Arial"/>
          <w:sz w:val="22"/>
          <w:szCs w:val="22"/>
        </w:rPr>
        <w:t xml:space="preserve"> — Register as a foreign entity in every state where an employee lives and works. Required within 30–90 days of employment depending on state.</w:t>
      </w:r>
    </w:p>
    <w:p w14:paraId="54A3900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Annual report filings</w:t>
      </w:r>
      <w:r>
        <w:rPr>
          <w:rFonts w:ascii="Arial" w:hAnsi="Arial" w:eastAsia="Arial" w:cs="Arial"/>
          <w:sz w:val="22"/>
          <w:szCs w:val="22"/>
        </w:rPr>
        <w:t xml:space="preserve"> — File Delaware annual report and franchise tax by March 1 each year. File in all other registered states per their schedule.</w:t>
      </w:r>
    </w:p>
    <w:p w14:paraId="4EA3937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Amend articles if structure changes</w:t>
      </w:r>
      <w:r>
        <w:rPr>
          <w:rFonts w:ascii="Arial" w:hAnsi="Arial" w:eastAsia="Arial" w:cs="Arial"/>
          <w:sz w:val="22"/>
          <w:szCs w:val="22"/>
        </w:rPr>
        <w:t xml:space="preserve"> — If co-founders are added or equity structure shifts, amend the articles of incorporation.</w:t>
      </w:r>
    </w:p>
    <w:p w14:paraId="06B2173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Corporate records book</w:t>
      </w:r>
      <w:r>
        <w:rPr>
          <w:rFonts w:ascii="Arial" w:hAnsi="Arial" w:eastAsia="Arial" w:cs="Arial"/>
          <w:sz w:val="22"/>
          <w:szCs w:val="22"/>
        </w:rPr>
        <w:t xml:space="preserve"> — Maintain a formal corporate records book: signed founder agreements, board minutes, stock certificates, and amendments.</w:t>
      </w:r>
    </w:p>
    <w:p w14:paraId="35B141EF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@50 EMPLOYEES</w:t>
      </w:r>
    </w:p>
    <w:p w14:paraId="3569886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Formal board governance</w:t>
      </w:r>
      <w:r>
        <w:rPr>
          <w:rFonts w:ascii="Arial" w:hAnsi="Arial" w:eastAsia="Arial" w:cs="Arial"/>
          <w:sz w:val="22"/>
          <w:szCs w:val="22"/>
        </w:rPr>
        <w:t xml:space="preserve"> — Establish a board of directors with formal written resolutions, consent processes, and annual shareholder meetings.</w:t>
      </w:r>
    </w:p>
    <w:p w14:paraId="36BB704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Delaware franchise tax optimisation</w:t>
      </w:r>
      <w:r>
        <w:rPr>
          <w:rFonts w:ascii="Arial" w:hAnsi="Arial" w:eastAsia="Arial" w:cs="Arial"/>
          <w:sz w:val="22"/>
          <w:szCs w:val="22"/>
        </w:rPr>
        <w:t xml:space="preserve"> — Switch from the default authorised shares method to the assumed par value capital method. This significantly reduces the annual franchise tax bill for high-authorised-share companies.</w:t>
      </w:r>
    </w:p>
    <w:p w14:paraId="73073B2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Section 382 NOL analysis</w:t>
      </w:r>
      <w:r>
        <w:rPr>
          <w:rFonts w:ascii="Arial" w:hAnsi="Arial" w:eastAsia="Arial" w:cs="Arial"/>
          <w:sz w:val="22"/>
          <w:szCs w:val="22"/>
        </w:rPr>
        <w:t xml:space="preserve"> — If stock ownership has changed significantly, assess Net Operating Loss carryforward limitations with a tax advisor.</w:t>
      </w:r>
    </w:p>
    <w:p w14:paraId="18C015F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Series A corporate cleanup</w:t>
      </w:r>
      <w:r>
        <w:rPr>
          <w:rFonts w:ascii="Arial" w:hAnsi="Arial" w:eastAsia="Arial" w:cs="Arial"/>
          <w:sz w:val="22"/>
          <w:szCs w:val="22"/>
        </w:rPr>
        <w:t xml:space="preserve"> — Before raising, conduct a legal audit: confirm all IP is assigned, all founder equity is documented, cap table is clean, and foreign qualifications are current.</w:t>
      </w:r>
    </w:p>
    <w:p w14:paraId="24C00396">
      <w:pPr>
        <w:spacing w:after="0"/>
      </w:pPr>
      <w:r>
        <w:br w:type="page"/>
      </w:r>
    </w:p>
    <w:p w14:paraId="46FD3AA8">
      <w:pPr>
        <w:pStyle w:val="2"/>
      </w:pPr>
      <w:r>
        <w:t>Workflow 2 — IP &amp; Legal Contracts</w:t>
      </w:r>
    </w:p>
    <w:p w14:paraId="1C42DD29">
      <w:pPr>
        <w:spacing w:before="0" w:after="2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Ensure the company owns all intellectual property and every relationship is governed by a signed agreement.</w:t>
      </w:r>
    </w:p>
    <w:p w14:paraId="36B8CC97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LAUNCH — WEEK 1 TO 2, IMMEDIATELY AFTER ENTITY FORMATION</w:t>
      </w:r>
    </w:p>
    <w:p w14:paraId="4A52A32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Founder IP assignment</w:t>
      </w:r>
      <w:r>
        <w:rPr>
          <w:rFonts w:ascii="Arial" w:hAnsi="Arial" w:eastAsia="Arial" w:cs="Arial"/>
          <w:sz w:val="22"/>
          <w:szCs w:val="22"/>
        </w:rPr>
        <w:t xml:space="preserve"> — Every co-founder assigns all IP they have created — pre- and post-incorporation — to the company. No exceptions. This must be signed before any product work continues.</w:t>
      </w:r>
    </w:p>
    <w:p w14:paraId="1BFBBA1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PIIA for all co-founders</w:t>
      </w:r>
      <w:r>
        <w:rPr>
          <w:rFonts w:ascii="Arial" w:hAnsi="Arial" w:eastAsia="Arial" w:cs="Arial"/>
          <w:sz w:val="22"/>
          <w:szCs w:val="22"/>
        </w:rPr>
        <w:t xml:space="preserve"> — Proprietary Information and Inventions Agreement. Covers ongoing confidentiality and future IP ownership. Separate from the one-time IP assignment.</w:t>
      </w:r>
    </w:p>
    <w:p w14:paraId="6EF3EA2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Founder agreement</w:t>
      </w:r>
      <w:r>
        <w:rPr>
          <w:rFonts w:ascii="Arial" w:hAnsi="Arial" w:eastAsia="Arial" w:cs="Arial"/>
          <w:sz w:val="22"/>
          <w:szCs w:val="22"/>
        </w:rPr>
        <w:t xml:space="preserve"> — Documents each co-founder's roles, responsibilities, decision-making authority, and what happens on departure, death, or disability.</w:t>
      </w:r>
    </w:p>
    <w:p w14:paraId="1A14174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NDA template</w:t>
      </w:r>
      <w:r>
        <w:rPr>
          <w:rFonts w:ascii="Arial" w:hAnsi="Arial" w:eastAsia="Arial" w:cs="Arial"/>
          <w:sz w:val="22"/>
          <w:szCs w:val="22"/>
        </w:rPr>
        <w:t xml:space="preserve"> — Draft a standard mutual NDA for early conversations with prospects, partners, contractors, and advisors.</w:t>
      </w:r>
    </w:p>
    <w:p w14:paraId="386E6E9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Cap table setup</w:t>
      </w:r>
      <w:r>
        <w:rPr>
          <w:rFonts w:ascii="Arial" w:hAnsi="Arial" w:eastAsia="Arial" w:cs="Arial"/>
          <w:sz w:val="22"/>
          <w:szCs w:val="22"/>
        </w:rPr>
        <w:t xml:space="preserve"> — Record all equity holders, share classes, and ownership percentages in Pulley (pre-Series A) or Carta.</w:t>
      </w:r>
    </w:p>
    <w:p w14:paraId="6353B0A6">
      <w:pPr>
        <w:spacing w:after="180"/>
        <w:ind w:left="64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 xml:space="preserve">Depends on:  </w:t>
      </w:r>
      <w:r>
        <w:rPr>
          <w:rFonts w:ascii="Arial" w:hAnsi="Arial" w:eastAsia="Arial" w:cs="Arial"/>
          <w:color w:val="666666"/>
          <w:sz w:val="20"/>
          <w:szCs w:val="20"/>
        </w:rPr>
        <w:t>Requires completed Workflow 1 Steps 6–9 (entity, EIN, equity split).</w:t>
      </w:r>
    </w:p>
    <w:p w14:paraId="1A1CBA0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Issue founder shares</w:t>
      </w:r>
      <w:r>
        <w:rPr>
          <w:rFonts w:ascii="Arial" w:hAnsi="Arial" w:eastAsia="Arial" w:cs="Arial"/>
          <w:sz w:val="22"/>
          <w:szCs w:val="22"/>
        </w:rPr>
        <w:t xml:space="preserve"> — Formal stock issuance to all co-founders via the cap table platform.</w:t>
      </w:r>
    </w:p>
    <w:p w14:paraId="2E28FF7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File 83(b) election</w:t>
      </w:r>
      <w:r>
        <w:rPr>
          <w:rFonts w:ascii="Arial" w:hAnsi="Arial" w:eastAsia="Arial" w:cs="Arial"/>
          <w:sz w:val="22"/>
          <w:szCs w:val="22"/>
        </w:rPr>
        <w:t xml:space="preserve"> — File with the IRS within 30 days of stock issuance. No extensions.</w:t>
      </w:r>
    </w:p>
    <w:p w14:paraId="2AAE736C">
      <w:pPr>
        <w:pBdr>
          <w:left w:val="single" w:color="C00000" w:sz="12" w:space="8"/>
        </w:pBdr>
        <w:spacing w:before="120" w:after="160"/>
        <w:ind w:left="280"/>
      </w:pPr>
      <w:r>
        <w:rPr>
          <w:rFonts w:ascii="Arial" w:hAnsi="Arial" w:eastAsia="Arial" w:cs="Arial"/>
          <w:b/>
          <w:bCs/>
          <w:color w:val="C00000"/>
          <w:sz w:val="22"/>
          <w:szCs w:val="22"/>
        </w:rPr>
        <w:t>CRITICAL  83(b) DEADLINE: 30 calendar days from the date stock is issued. File by certified mail to the IRS service centre for your state. Keep the receipt. Missing this is irreversible.</w:t>
      </w:r>
    </w:p>
    <w:p w14:paraId="05EAD693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LAUNCH — WEEKS 2 TO 6, AS CLIENT CONVERSATIONS BEGIN</w:t>
      </w:r>
    </w:p>
    <w:p w14:paraId="2AEF339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Client contracts package</w:t>
      </w:r>
      <w:r>
        <w:rPr>
          <w:rFonts w:ascii="Arial" w:hAnsi="Arial" w:eastAsia="Arial" w:cs="Arial"/>
          <w:sz w:val="22"/>
          <w:szCs w:val="22"/>
        </w:rPr>
        <w:t xml:space="preserve"> — As soon as you are in serious sales conversations: draft MSA (Master Service Agreement), SOW (Statement of Work), AI Addendum if applicable, NDA, and SLA (Service Level Agreement).</w:t>
      </w:r>
    </w:p>
    <w:p w14:paraId="7837F714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Data Processing Agreement (DPA)</w:t>
      </w:r>
      <w:r>
        <w:rPr>
          <w:rFonts w:ascii="Arial" w:hAnsi="Arial" w:eastAsia="Arial" w:cs="Arial"/>
          <w:sz w:val="22"/>
          <w:szCs w:val="22"/>
        </w:rPr>
        <w:t xml:space="preserve"> — Required for any processing of personal data on behalf of EU users or customers. A GDPR mandate. Attach to your MSA.</w:t>
      </w:r>
    </w:p>
    <w:p w14:paraId="2521029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Contractor agreements</w:t>
      </w:r>
      <w:r>
        <w:rPr>
          <w:rFonts w:ascii="Arial" w:hAnsi="Arial" w:eastAsia="Arial" w:cs="Arial"/>
          <w:sz w:val="22"/>
          <w:szCs w:val="22"/>
        </w:rPr>
        <w:t xml:space="preserve"> — Every external contractor or freelancer signs before starting work. Must include an IP assignment clause covering all work product.</w:t>
      </w:r>
    </w:p>
    <w:p w14:paraId="74DB950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Privacy Policy</w:t>
      </w:r>
      <w:r>
        <w:rPr>
          <w:rFonts w:ascii="Arial" w:hAnsi="Arial" w:eastAsia="Arial" w:cs="Arial"/>
          <w:sz w:val="22"/>
          <w:szCs w:val="22"/>
        </w:rPr>
        <w:t xml:space="preserve"> — Published on the website before collecting any user data. Must be GDPR and CCPA compliant.</w:t>
      </w:r>
    </w:p>
    <w:p w14:paraId="190A500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Terms of Service</w:t>
      </w:r>
      <w:r>
        <w:rPr>
          <w:rFonts w:ascii="Arial" w:hAnsi="Arial" w:eastAsia="Arial" w:cs="Arial"/>
          <w:sz w:val="22"/>
          <w:szCs w:val="22"/>
        </w:rPr>
        <w:t xml:space="preserve"> — Published and linked before any user creates an account or uses the product.</w:t>
      </w:r>
    </w:p>
    <w:p w14:paraId="5307402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Cookie consent banner</w:t>
      </w:r>
      <w:r>
        <w:rPr>
          <w:rFonts w:ascii="Arial" w:hAnsi="Arial" w:eastAsia="Arial" w:cs="Arial"/>
          <w:sz w:val="22"/>
          <w:szCs w:val="22"/>
        </w:rPr>
        <w:t xml:space="preserve"> — Required before setting non-essential cookies. Use Termly or equivalent to auto-generate and keep current.</w:t>
      </w:r>
    </w:p>
    <w:p w14:paraId="012EF8C8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@10 EMPLOYEES</w:t>
      </w:r>
    </w:p>
    <w:p w14:paraId="3750935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Employee PIIA</w:t>
      </w:r>
      <w:r>
        <w:rPr>
          <w:rFonts w:ascii="Arial" w:hAnsi="Arial" w:eastAsia="Arial" w:cs="Arial"/>
          <w:sz w:val="22"/>
          <w:szCs w:val="22"/>
        </w:rPr>
        <w:t xml:space="preserve"> — All employees sign a PIIA at offer stage, before their start date. Assign all work-product IP created during employment to the company.</w:t>
      </w:r>
    </w:p>
    <w:p w14:paraId="20F5E2C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Employee handbook</w:t>
      </w:r>
      <w:r>
        <w:rPr>
          <w:rFonts w:ascii="Arial" w:hAnsi="Arial" w:eastAsia="Arial" w:cs="Arial"/>
          <w:sz w:val="22"/>
          <w:szCs w:val="22"/>
        </w:rPr>
        <w:t xml:space="preserve"> — See Workflow 6. Must be reviewed by an employment lawyer before distribution.</w:t>
      </w:r>
    </w:p>
    <w:p w14:paraId="72D0930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Vendor agreements</w:t>
      </w:r>
      <w:r>
        <w:rPr>
          <w:rFonts w:ascii="Arial" w:hAnsi="Arial" w:eastAsia="Arial" w:cs="Arial"/>
          <w:sz w:val="22"/>
          <w:szCs w:val="22"/>
        </w:rPr>
        <w:t xml:space="preserve"> — Standard vendor agreement for significant suppliers. Include data handling terms, liability cap, and audit rights.</w:t>
      </w:r>
    </w:p>
    <w:p w14:paraId="27B9B5C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ESOP pool documentation</w:t>
      </w:r>
      <w:r>
        <w:rPr>
          <w:rFonts w:ascii="Arial" w:hAnsi="Arial" w:eastAsia="Arial" w:cs="Arial"/>
          <w:sz w:val="22"/>
          <w:szCs w:val="22"/>
        </w:rPr>
        <w:t xml:space="preserve"> — If granting options, create a formal ESOP plan, approved by the board. All grants documented with strike price, vesting schedule, and grant agreement.</w:t>
      </w:r>
    </w:p>
    <w:p w14:paraId="6849B578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@50 EMPLOYEES</w:t>
      </w:r>
    </w:p>
    <w:p w14:paraId="6FCFAF1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Enterprise MSA upgrade</w:t>
      </w:r>
      <w:r>
        <w:rPr>
          <w:rFonts w:ascii="Arial" w:hAnsi="Arial" w:eastAsia="Arial" w:cs="Arial"/>
          <w:sz w:val="22"/>
          <w:szCs w:val="22"/>
        </w:rPr>
        <w:t xml:space="preserve"> — Upgraded template with liability caps, indemnification, security addendum, cyber insurance requirements, and GDPR Article 28 DPA.</w:t>
      </w:r>
    </w:p>
    <w:p w14:paraId="3DF709D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SaaS subscription license agreement</w:t>
      </w:r>
      <w:r>
        <w:rPr>
          <w:rFonts w:ascii="Arial" w:hAnsi="Arial" w:eastAsia="Arial" w:cs="Arial"/>
          <w:sz w:val="22"/>
          <w:szCs w:val="22"/>
        </w:rPr>
        <w:t xml:space="preserve"> — Governs enterprise SaaS product access. Separate from professional services MSA.</w:t>
      </w:r>
    </w:p>
    <w:p w14:paraId="7742049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Partner and reseller agreements</w:t>
      </w:r>
      <w:r>
        <w:rPr>
          <w:rFonts w:ascii="Arial" w:hAnsi="Arial" w:eastAsia="Arial" w:cs="Arial"/>
          <w:sz w:val="22"/>
          <w:szCs w:val="22"/>
        </w:rPr>
        <w:t xml:space="preserve"> — If channel sales or technology partnerships exist.</w:t>
      </w:r>
    </w:p>
    <w:p w14:paraId="0066645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Legal ops system</w:t>
      </w:r>
      <w:r>
        <w:rPr>
          <w:rFonts w:ascii="Arial" w:hAnsi="Arial" w:eastAsia="Arial" w:cs="Arial"/>
          <w:sz w:val="22"/>
          <w:szCs w:val="22"/>
        </w:rPr>
        <w:t xml:space="preserve"> — Move contract workflow to Ironclad or equivalent. Automate approvals, redlining, counterparty signing, and contract repository.</w:t>
      </w:r>
    </w:p>
    <w:p w14:paraId="23C0032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SOC 2 and compliance certifications</w:t>
      </w:r>
      <w:r>
        <w:rPr>
          <w:rFonts w:ascii="Arial" w:hAnsi="Arial" w:eastAsia="Arial" w:cs="Arial"/>
          <w:sz w:val="22"/>
          <w:szCs w:val="22"/>
        </w:rPr>
        <w:t xml:space="preserve"> — Begin SOC 2 Type I readiness if selling to enterprise. Use Vanta or Drata to automate evidence collection.</w:t>
      </w:r>
    </w:p>
    <w:p w14:paraId="5C0F8CD6">
      <w:pPr>
        <w:spacing w:after="0"/>
      </w:pPr>
      <w:r>
        <w:br w:type="page"/>
      </w:r>
    </w:p>
    <w:p w14:paraId="33FA3CA1">
      <w:pPr>
        <w:pStyle w:val="2"/>
      </w:pPr>
      <w:r>
        <w:t>Workflow 3 — Financial Infrastructure</w:t>
      </w:r>
    </w:p>
    <w:p w14:paraId="69288CDB">
      <w:pPr>
        <w:spacing w:before="0" w:after="2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Establish the financial backbone from banking to bookkeeping to investor-ready reporting.</w:t>
      </w:r>
    </w:p>
    <w:p w14:paraId="13B6F9CD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LAUNCH — DAY 0 TO WEEK 2</w:t>
      </w:r>
    </w:p>
    <w:p w14:paraId="1AED0DE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Open business bank account</w:t>
      </w:r>
      <w:r>
        <w:rPr>
          <w:rFonts w:ascii="Arial" w:hAnsi="Arial" w:eastAsia="Arial" w:cs="Arial"/>
          <w:sz w:val="22"/>
          <w:szCs w:val="22"/>
        </w:rPr>
        <w:t xml:space="preserve"> — Mercury or Relay. Requires EIN and formation documents from Workflow 1.</w:t>
      </w:r>
    </w:p>
    <w:p w14:paraId="76E7DBB8">
      <w:pPr>
        <w:spacing w:after="180"/>
        <w:ind w:left="64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 xml:space="preserve">Depends on:  </w:t>
      </w:r>
      <w:r>
        <w:rPr>
          <w:rFonts w:ascii="Arial" w:hAnsi="Arial" w:eastAsia="Arial" w:cs="Arial"/>
          <w:color w:val="666666"/>
          <w:sz w:val="20"/>
          <w:szCs w:val="20"/>
        </w:rPr>
        <w:t>This step gates payroll setup, contractor payments, and corporate card issuance.</w:t>
      </w:r>
    </w:p>
    <w:p w14:paraId="56BAE4E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Set up corporate card</w:t>
      </w:r>
      <w:r>
        <w:rPr>
          <w:rFonts w:ascii="Arial" w:hAnsi="Arial" w:eastAsia="Arial" w:cs="Arial"/>
          <w:sz w:val="22"/>
          <w:szCs w:val="22"/>
        </w:rPr>
        <w:t xml:space="preserve"> — Ramp or Brex. Connect to the business bank account. Issue founder cards immediately.</w:t>
      </w:r>
    </w:p>
    <w:p w14:paraId="61371F2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Write expense policy</w:t>
      </w:r>
      <w:r>
        <w:rPr>
          <w:rFonts w:ascii="Arial" w:hAnsi="Arial" w:eastAsia="Arial" w:cs="Arial"/>
          <w:sz w:val="22"/>
          <w:szCs w:val="22"/>
        </w:rPr>
        <w:t xml:space="preserve"> — One page. What is reimbursable, receipt requirements, approval thresholds. Posted in the internal wiki.</w:t>
      </w:r>
    </w:p>
    <w:p w14:paraId="4C54763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Choose accounting software</w:t>
      </w:r>
      <w:r>
        <w:rPr>
          <w:rFonts w:ascii="Arial" w:hAnsi="Arial" w:eastAsia="Arial" w:cs="Arial"/>
          <w:sz w:val="22"/>
          <w:szCs w:val="22"/>
        </w:rPr>
        <w:t xml:space="preserve"> — QuickBooks (if working with an accountant) or Xero (international teams). Connect live bank feed on day one.</w:t>
      </w:r>
    </w:p>
    <w:p w14:paraId="62534004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Configure chart of accounts</w:t>
      </w:r>
      <w:r>
        <w:rPr>
          <w:rFonts w:ascii="Arial" w:hAnsi="Arial" w:eastAsia="Arial" w:cs="Arial"/>
          <w:sz w:val="22"/>
          <w:szCs w:val="22"/>
        </w:rPr>
        <w:t xml:space="preserve"> — Revenue, Cost of Goods Sold, payroll, software subscriptions, travel, legal and professional fees.</w:t>
      </w:r>
    </w:p>
    <w:p w14:paraId="43FBDD6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Choose fiscal year</w:t>
      </w:r>
      <w:r>
        <w:rPr>
          <w:rFonts w:ascii="Arial" w:hAnsi="Arial" w:eastAsia="Arial" w:cs="Arial"/>
          <w:sz w:val="22"/>
          <w:szCs w:val="22"/>
        </w:rPr>
        <w:t xml:space="preserve"> — Calendar year January to December is recommended for simplicity.</w:t>
      </w:r>
    </w:p>
    <w:p w14:paraId="412B74A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Set up payment processing</w:t>
      </w:r>
      <w:r>
        <w:rPr>
          <w:rFonts w:ascii="Arial" w:hAnsi="Arial" w:eastAsia="Arial" w:cs="Arial"/>
          <w:sz w:val="22"/>
          <w:szCs w:val="22"/>
        </w:rPr>
        <w:t xml:space="preserve"> — Stripe. Configure checkout flow, webhook to internal systems, and basic revenue dashboard.</w:t>
      </w:r>
    </w:p>
    <w:p w14:paraId="416C5E8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Create invoice template</w:t>
      </w:r>
      <w:r>
        <w:rPr>
          <w:rFonts w:ascii="Arial" w:hAnsi="Arial" w:eastAsia="Arial" w:cs="Arial"/>
          <w:sz w:val="22"/>
          <w:szCs w:val="22"/>
        </w:rPr>
        <w:t xml:space="preserve"> — Standard invoice with payment terms. NET 15 for early customers. Stored in shared Drive.</w:t>
      </w:r>
    </w:p>
    <w:p w14:paraId="74E5CE6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Cash runway model</w:t>
      </w:r>
      <w:r>
        <w:rPr>
          <w:rFonts w:ascii="Arial" w:hAnsi="Arial" w:eastAsia="Arial" w:cs="Arial"/>
          <w:sz w:val="22"/>
          <w:szCs w:val="22"/>
        </w:rPr>
        <w:t xml:space="preserve"> — Simple spreadsheet: current cash, monthly burn, months of runway. Reviewed by founders weekly.</w:t>
      </w:r>
    </w:p>
    <w:p w14:paraId="1D3B63E2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@10 EMPLOYEES</w:t>
      </w:r>
    </w:p>
    <w:p w14:paraId="537D73B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Monthly bookkeeping close</w:t>
      </w:r>
      <w:r>
        <w:rPr>
          <w:rFonts w:ascii="Arial" w:hAnsi="Arial" w:eastAsia="Arial" w:cs="Arial"/>
          <w:sz w:val="22"/>
          <w:szCs w:val="22"/>
        </w:rPr>
        <w:t xml:space="preserve"> — Either Pilot (managed service) or in-house. Completed by the 10th of each month for the prior month.</w:t>
      </w:r>
    </w:p>
    <w:p w14:paraId="4C8FD59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Payroll setup</w:t>
      </w:r>
      <w:r>
        <w:rPr>
          <w:rFonts w:ascii="Arial" w:hAnsi="Arial" w:eastAsia="Arial" w:cs="Arial"/>
          <w:sz w:val="22"/>
          <w:szCs w:val="22"/>
        </w:rPr>
        <w:t xml:space="preserve"> — Gusto for US-only teams. Deel or Rippling if hiring internationally. Run on a fixed bi-weekly schedule.</w:t>
      </w:r>
    </w:p>
    <w:p w14:paraId="68CD089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Benefits enrollment</w:t>
      </w:r>
      <w:r>
        <w:rPr>
          <w:rFonts w:ascii="Arial" w:hAnsi="Arial" w:eastAsia="Arial" w:cs="Arial"/>
          <w:sz w:val="22"/>
          <w:szCs w:val="22"/>
        </w:rPr>
        <w:t xml:space="preserve"> — Health, dental, and vision. Gusto Benefits or a dedicated broker. Employees enrolled within 30 days of their start date.</w:t>
      </w:r>
    </w:p>
    <w:p w14:paraId="0EFC55A4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Expense management workflow</w:t>
      </w:r>
      <w:r>
        <w:rPr>
          <w:rFonts w:ascii="Arial" w:hAnsi="Arial" w:eastAsia="Arial" w:cs="Arial"/>
          <w:sz w:val="22"/>
          <w:szCs w:val="22"/>
        </w:rPr>
        <w:t xml:space="preserve"> — All cards on Ramp. Receipts submitted weekly. Auto-sync to QuickBooks or Xero.</w:t>
      </w:r>
    </w:p>
    <w:p w14:paraId="66738BB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Accounts payable process</w:t>
      </w:r>
      <w:r>
        <w:rPr>
          <w:rFonts w:ascii="Arial" w:hAnsi="Arial" w:eastAsia="Arial" w:cs="Arial"/>
          <w:sz w:val="22"/>
          <w:szCs w:val="22"/>
        </w:rPr>
        <w:t xml:space="preserve"> — Ramp or Bill.com for vendor payment approvals. All vendor payments require a corresponding approved bill.</w:t>
      </w:r>
    </w:p>
    <w:p w14:paraId="0475A4B2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Monthly P&amp;L review</w:t>
      </w:r>
      <w:r>
        <w:rPr>
          <w:rFonts w:ascii="Arial" w:hAnsi="Arial" w:eastAsia="Arial" w:cs="Arial"/>
          <w:sz w:val="22"/>
          <w:szCs w:val="22"/>
        </w:rPr>
        <w:t xml:space="preserve"> — Founders review actuals versus budget by the 15th of each month.</w:t>
      </w:r>
    </w:p>
    <w:p w14:paraId="21E25B84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Quarterly estimated taxes</w:t>
      </w:r>
      <w:r>
        <w:rPr>
          <w:rFonts w:ascii="Arial" w:hAnsi="Arial" w:eastAsia="Arial" w:cs="Arial"/>
          <w:sz w:val="22"/>
          <w:szCs w:val="22"/>
        </w:rPr>
        <w:t xml:space="preserve"> — Federal deadlines: April 15, June 15, September 15, January 15. State deadlines vary.</w:t>
      </w:r>
    </w:p>
    <w:p w14:paraId="1CBA732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Subscription billing</w:t>
      </w:r>
      <w:r>
        <w:rPr>
          <w:rFonts w:ascii="Arial" w:hAnsi="Arial" w:eastAsia="Arial" w:cs="Arial"/>
          <w:sz w:val="22"/>
          <w:szCs w:val="22"/>
        </w:rPr>
        <w:t xml:space="preserve"> — Stripe Billing or Chargebee for recurring revenue. Dunning management configured: retry failed payments automatically.</w:t>
      </w:r>
    </w:p>
    <w:p w14:paraId="49E3AED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Accounts receivable</w:t>
      </w:r>
      <w:r>
        <w:rPr>
          <w:rFonts w:ascii="Arial" w:hAnsi="Arial" w:eastAsia="Arial" w:cs="Arial"/>
          <w:sz w:val="22"/>
          <w:szCs w:val="22"/>
        </w:rPr>
        <w:t xml:space="preserve"> — Track all outstanding invoices. Chase overdue invoices at 7 days, 14 days, and 30 days.</w:t>
      </w:r>
    </w:p>
    <w:p w14:paraId="00E73D9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12-month rolling forecast</w:t>
      </w:r>
      <w:r>
        <w:rPr>
          <w:rFonts w:ascii="Arial" w:hAnsi="Arial" w:eastAsia="Arial" w:cs="Arial"/>
          <w:sz w:val="22"/>
          <w:szCs w:val="22"/>
        </w:rPr>
        <w:t xml:space="preserve"> — Update monthly. Includes revenue, headcount, software costs, and cash runway scenarios.</w:t>
      </w:r>
    </w:p>
    <w:p w14:paraId="71C3418E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@50 EMPLOYEES</w:t>
      </w:r>
    </w:p>
    <w:p w14:paraId="129D56D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Switch to accrual accounting</w:t>
      </w:r>
      <w:r>
        <w:rPr>
          <w:rFonts w:ascii="Arial" w:hAnsi="Arial" w:eastAsia="Arial" w:cs="Arial"/>
          <w:sz w:val="22"/>
          <w:szCs w:val="22"/>
        </w:rPr>
        <w:t xml:space="preserve"> — Required for Series A financial statements. Work with your accountant to restate prior periods if necessary.</w:t>
      </w:r>
    </w:p>
    <w:p w14:paraId="0CFA758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Revenue recognition policy</w:t>
      </w:r>
      <w:r>
        <w:rPr>
          <w:rFonts w:ascii="Arial" w:hAnsi="Arial" w:eastAsia="Arial" w:cs="Arial"/>
          <w:sz w:val="22"/>
          <w:szCs w:val="22"/>
        </w:rPr>
        <w:t xml:space="preserve"> — Formal ASC 606 policy documenting when revenue is recognised. Critical for enterprise multi-year contracts.</w:t>
      </w:r>
    </w:p>
    <w:p w14:paraId="4CBB086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Financial model for board</w:t>
      </w:r>
      <w:r>
        <w:rPr>
          <w:rFonts w:ascii="Arial" w:hAnsi="Arial" w:eastAsia="Arial" w:cs="Arial"/>
          <w:sz w:val="22"/>
          <w:szCs w:val="22"/>
        </w:rPr>
        <w:t xml:space="preserve"> — Runway or Causal. Full three-statement model: P&amp;L, balance sheet, cash flow, and scenario planning.</w:t>
      </w:r>
    </w:p>
    <w:p w14:paraId="1367763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R&amp;D tax credits</w:t>
      </w:r>
      <w:r>
        <w:rPr>
          <w:rFonts w:ascii="Arial" w:hAnsi="Arial" w:eastAsia="Arial" w:cs="Arial"/>
          <w:sz w:val="22"/>
          <w:szCs w:val="22"/>
        </w:rPr>
        <w:t xml:space="preserve"> — Document qualifying research activities from the beginning. R&amp;D credits can be significant and are often missed retroactively.</w:t>
      </w:r>
    </w:p>
    <w:p w14:paraId="5A59D03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Audit preparation</w:t>
      </w:r>
      <w:r>
        <w:rPr>
          <w:rFonts w:ascii="Arial" w:hAnsi="Arial" w:eastAsia="Arial" w:cs="Arial"/>
          <w:sz w:val="22"/>
          <w:szCs w:val="22"/>
        </w:rPr>
        <w:t xml:space="preserve"> — Engage an audit firm 6 months before the target audit date. Big 4 audit often required by Series B investors.</w:t>
      </w:r>
    </w:p>
    <w:p w14:paraId="5121543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Multi-currency billing</w:t>
      </w:r>
      <w:r>
        <w:rPr>
          <w:rFonts w:ascii="Arial" w:hAnsi="Arial" w:eastAsia="Arial" w:cs="Arial"/>
          <w:sz w:val="22"/>
          <w:szCs w:val="22"/>
        </w:rPr>
        <w:t xml:space="preserve"> — Stripe multi-currency or Paddle as merchant of record if significant international revenue.</w:t>
      </w:r>
    </w:p>
    <w:p w14:paraId="5BF3C28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Investor updates formalised</w:t>
      </w:r>
      <w:r>
        <w:rPr>
          <w:rFonts w:ascii="Arial" w:hAnsi="Arial" w:eastAsia="Arial" w:cs="Arial"/>
          <w:sz w:val="22"/>
          <w:szCs w:val="22"/>
        </w:rPr>
        <w:t xml:space="preserve"> — Monthly written investor update via Visible.vc. Includes MRR, ARR, burn, runway, key wins, key blockers, and asks.</w:t>
      </w:r>
    </w:p>
    <w:p w14:paraId="019102BB">
      <w:pPr>
        <w:spacing w:after="0"/>
      </w:pPr>
      <w:r>
        <w:br w:type="page"/>
      </w:r>
    </w:p>
    <w:p w14:paraId="6DA4F0D1">
      <w:pPr>
        <w:pStyle w:val="2"/>
      </w:pPr>
      <w:r>
        <w:t>Workflow 4 — Technical Infrastructure</w:t>
      </w:r>
    </w:p>
    <w:p w14:paraId="35697D4E">
      <w:pPr>
        <w:spacing w:before="0" w:after="2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Build and operate a production-ready technical stack from domain registration to full observability.</w:t>
      </w:r>
    </w:p>
    <w:p w14:paraId="7C4E1B96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LAUNCH — DAY 0 TO WEEK 2</w:t>
      </w:r>
    </w:p>
    <w:p w14:paraId="0D3AB63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Register domain</w:t>
      </w:r>
      <w:r>
        <w:rPr>
          <w:rFonts w:ascii="Arial" w:hAnsi="Arial" w:eastAsia="Arial" w:cs="Arial"/>
          <w:sz w:val="22"/>
          <w:szCs w:val="22"/>
        </w:rPr>
        <w:t xml:space="preserve"> — Cloudflare Registrar (preferred for integrated DNS) or Namecheap. Domain must align with the name decision from Workflow 1 Step 1.</w:t>
      </w:r>
    </w:p>
    <w:p w14:paraId="2BFD104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Configure DNS via Cloudflare</w:t>
      </w:r>
      <w:r>
        <w:rPr>
          <w:rFonts w:ascii="Arial" w:hAnsi="Arial" w:eastAsia="Arial" w:cs="Arial"/>
          <w:sz w:val="22"/>
          <w:szCs w:val="22"/>
        </w:rPr>
        <w:t xml:space="preserve"> — Set up DNS records immediately. Cloudflare proxy provides free DDoS protection and CDN from day one.</w:t>
      </w:r>
    </w:p>
    <w:p w14:paraId="44CE822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Configure email authentication</w:t>
      </w:r>
      <w:r>
        <w:rPr>
          <w:rFonts w:ascii="Arial" w:hAnsi="Arial" w:eastAsia="Arial" w:cs="Arial"/>
          <w:sz w:val="22"/>
          <w:szCs w:val="22"/>
        </w:rPr>
        <w:t xml:space="preserve"> — Set SPF, DKIM, and DMARC records on the domain before sending a single email. These affect deliverability permanently and cannot be applied retroactively.</w:t>
      </w:r>
    </w:p>
    <w:p w14:paraId="4546614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Create GitHub organisation</w:t>
      </w:r>
      <w:r>
        <w:rPr>
          <w:rFonts w:ascii="Arial" w:hAnsi="Arial" w:eastAsia="Arial" w:cs="Arial"/>
          <w:sz w:val="22"/>
          <w:szCs w:val="22"/>
        </w:rPr>
        <w:t xml:space="preserve"> — Set up immediately. Create main repository. Enable branch protection on main: require pull request review before merging.</w:t>
      </w:r>
    </w:p>
    <w:p w14:paraId="347E3E5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Set up secrets management</w:t>
      </w:r>
      <w:r>
        <w:rPr>
          <w:rFonts w:ascii="Arial" w:hAnsi="Arial" w:eastAsia="Arial" w:cs="Arial"/>
          <w:sz w:val="22"/>
          <w:szCs w:val="22"/>
        </w:rPr>
        <w:t xml:space="preserve"> — Doppler or equivalent. Establish separate environments for dev, staging, and production. No secrets in git. Ever.</w:t>
      </w:r>
    </w:p>
    <w:p w14:paraId="0A7637A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Provision database</w:t>
      </w:r>
      <w:r>
        <w:rPr>
          <w:rFonts w:ascii="Arial" w:hAnsi="Arial" w:eastAsia="Arial" w:cs="Arial"/>
          <w:sz w:val="22"/>
          <w:szCs w:val="22"/>
        </w:rPr>
        <w:t xml:space="preserve"> — Supabase recommended for speed: Postgres plus auth plus storage plus realtime in one. Enable automated daily backups on day one.</w:t>
      </w:r>
    </w:p>
    <w:p w14:paraId="7FB34BC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Choose cloud hosting</w:t>
      </w:r>
      <w:r>
        <w:rPr>
          <w:rFonts w:ascii="Arial" w:hAnsi="Arial" w:eastAsia="Arial" w:cs="Arial"/>
          <w:sz w:val="22"/>
          <w:szCs w:val="22"/>
        </w:rPr>
        <w:t xml:space="preserve"> — Vercel plus Railway for early-stage speed. AWS or GCP if the team has DevOps depth. Set up staging and production environments. Keep them identical.</w:t>
      </w:r>
    </w:p>
    <w:p w14:paraId="5D6F0134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Implement authentication</w:t>
      </w:r>
      <w:r>
        <w:rPr>
          <w:rFonts w:ascii="Arial" w:hAnsi="Arial" w:eastAsia="Arial" w:cs="Arial"/>
          <w:sz w:val="22"/>
          <w:szCs w:val="22"/>
        </w:rPr>
        <w:t xml:space="preserve"> — Clerk (fastest to ship) or Auth0. Email and password plus Google sign-in as minimum. Email verification and MFA enabled.</w:t>
      </w:r>
    </w:p>
    <w:p w14:paraId="76C91FF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Set up transactional email</w:t>
      </w:r>
      <w:r>
        <w:rPr>
          <w:rFonts w:ascii="Arial" w:hAnsi="Arial" w:eastAsia="Arial" w:cs="Arial"/>
          <w:sz w:val="22"/>
          <w:szCs w:val="22"/>
        </w:rPr>
        <w:t xml:space="preserve"> — Resend (best developer experience) or Postmark. Use a separate authenticated subdomain for sending, e.g. mail.yourdomain.com.</w:t>
      </w:r>
    </w:p>
    <w:p w14:paraId="288E526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Install error tracking</w:t>
      </w:r>
      <w:r>
        <w:rPr>
          <w:rFonts w:ascii="Arial" w:hAnsi="Arial" w:eastAsia="Arial" w:cs="Arial"/>
          <w:sz w:val="22"/>
          <w:szCs w:val="22"/>
        </w:rPr>
        <w:t xml:space="preserve"> — Sentry in production and staging. Configure Slack alerts for new error types. Do not ship to production without this.</w:t>
      </w:r>
    </w:p>
    <w:p w14:paraId="08DA751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Uptime monitoring and status page</w:t>
      </w:r>
      <w:r>
        <w:rPr>
          <w:rFonts w:ascii="Arial" w:hAnsi="Arial" w:eastAsia="Arial" w:cs="Arial"/>
          <w:sz w:val="22"/>
          <w:szCs w:val="22"/>
        </w:rPr>
        <w:t xml:space="preserve"> — Better Uptime. Public status page live at status.yourdomain.com before any users are onboarded.</w:t>
      </w:r>
    </w:p>
    <w:p w14:paraId="432E66E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CI pipeline</w:t>
      </w:r>
      <w:r>
        <w:rPr>
          <w:rFonts w:ascii="Arial" w:hAnsi="Arial" w:eastAsia="Arial" w:cs="Arial"/>
          <w:sz w:val="22"/>
          <w:szCs w:val="22"/>
        </w:rPr>
        <w:t xml:space="preserve"> — GitHub Actions. Lint and unit tests run on every pull request. No merges to main without a passing build.</w:t>
      </w:r>
    </w:p>
    <w:p w14:paraId="504A961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CD pipeline</w:t>
      </w:r>
      <w:r>
        <w:rPr>
          <w:rFonts w:ascii="Arial" w:hAnsi="Arial" w:eastAsia="Arial" w:cs="Arial"/>
          <w:sz w:val="22"/>
          <w:szCs w:val="22"/>
        </w:rPr>
        <w:t xml:space="preserve"> — Automated deployment to staging on merge to main. Production deployments require manual approval or promotion.</w:t>
      </w:r>
    </w:p>
    <w:p w14:paraId="249D9DEC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@10 EMPLOYEES</w:t>
      </w:r>
    </w:p>
    <w:p w14:paraId="7144E4F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Object storage and CDN</w:t>
      </w:r>
      <w:r>
        <w:rPr>
          <w:rFonts w:ascii="Arial" w:hAnsi="Arial" w:eastAsia="Arial" w:cs="Arial"/>
          <w:sz w:val="22"/>
          <w:szCs w:val="22"/>
        </w:rPr>
        <w:t xml:space="preserve"> — Cloudflare R2 for file uploads and static assets. Zero egress fees versus AWS S3.</w:t>
      </w:r>
    </w:p>
    <w:p w14:paraId="0B0137A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Secrets synced to CI/CD</w:t>
      </w:r>
      <w:r>
        <w:rPr>
          <w:rFonts w:ascii="Arial" w:hAnsi="Arial" w:eastAsia="Arial" w:cs="Arial"/>
          <w:sz w:val="22"/>
          <w:szCs w:val="22"/>
        </w:rPr>
        <w:t xml:space="preserve"> — Doppler injects secrets into GitHub Actions and deployment environments. No hardcoded environment variables.</w:t>
      </w:r>
    </w:p>
    <w:p w14:paraId="0180206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APM and log aggregation</w:t>
      </w:r>
      <w:r>
        <w:rPr>
          <w:rFonts w:ascii="Arial" w:hAnsi="Arial" w:eastAsia="Arial" w:cs="Arial"/>
          <w:sz w:val="22"/>
          <w:szCs w:val="22"/>
        </w:rPr>
        <w:t xml:space="preserve"> — Datadog or New Relic. Application performance monitoring. Structured logging from all services.</w:t>
      </w:r>
    </w:p>
    <w:p w14:paraId="61C6D08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On-call rotation</w:t>
      </w:r>
      <w:r>
        <w:rPr>
          <w:rFonts w:ascii="Arial" w:hAnsi="Arial" w:eastAsia="Arial" w:cs="Arial"/>
          <w:sz w:val="22"/>
          <w:szCs w:val="22"/>
        </w:rPr>
        <w:t xml:space="preserve"> — Define who is on-call each week. Configure PagerDuty or Better Uptime on-call routing. Write an incident response runbook.</w:t>
      </w:r>
    </w:p>
    <w:p w14:paraId="4B1A31A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Dependency vulnerability scanning</w:t>
      </w:r>
      <w:r>
        <w:rPr>
          <w:rFonts w:ascii="Arial" w:hAnsi="Arial" w:eastAsia="Arial" w:cs="Arial"/>
          <w:sz w:val="22"/>
          <w:szCs w:val="22"/>
        </w:rPr>
        <w:t xml:space="preserve"> — Snyk integrated into CI/CD pipeline. Pull requests with critical vulnerabilities are blocked from merging.</w:t>
      </w:r>
    </w:p>
    <w:p w14:paraId="199E688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Database read replicas</w:t>
      </w:r>
      <w:r>
        <w:rPr>
          <w:rFonts w:ascii="Arial" w:hAnsi="Arial" w:eastAsia="Arial" w:cs="Arial"/>
          <w:sz w:val="22"/>
          <w:szCs w:val="22"/>
        </w:rPr>
        <w:t xml:space="preserve"> — Separate read workloads from write workloads once the database shows query latency under load.</w:t>
      </w:r>
    </w:p>
    <w:p w14:paraId="066843C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RBAC in authentication</w:t>
      </w:r>
      <w:r>
        <w:rPr>
          <w:rFonts w:ascii="Arial" w:hAnsi="Arial" w:eastAsia="Arial" w:cs="Arial"/>
          <w:sz w:val="22"/>
          <w:szCs w:val="22"/>
        </w:rPr>
        <w:t xml:space="preserve"> — Role-based access control implemented in the product for multi-user and team features.</w:t>
      </w:r>
    </w:p>
    <w:p w14:paraId="4484000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Feature flags</w:t>
      </w:r>
      <w:r>
        <w:rPr>
          <w:rFonts w:ascii="Arial" w:hAnsi="Arial" w:eastAsia="Arial" w:cs="Arial"/>
          <w:sz w:val="22"/>
          <w:szCs w:val="22"/>
        </w:rPr>
        <w:t xml:space="preserve"> — Statsig or PostHog flags. All new features deployed behind a flag. Enables safe gradual rollout and instant kill switch.</w:t>
      </w:r>
    </w:p>
    <w:p w14:paraId="51BBEB67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@50 EMPLOYEES</w:t>
      </w:r>
    </w:p>
    <w:p w14:paraId="0D03803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Full observability stack</w:t>
      </w:r>
      <w:r>
        <w:rPr>
          <w:rFonts w:ascii="Arial" w:hAnsi="Arial" w:eastAsia="Arial" w:cs="Arial"/>
          <w:sz w:val="22"/>
          <w:szCs w:val="22"/>
        </w:rPr>
        <w:t xml:space="preserve"> — Correlated traces, metrics, and logs. SLO definitions for each critical service. Alerts based on error budget burn rate.</w:t>
      </w:r>
    </w:p>
    <w:p w14:paraId="2BAFD55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Infrastructure as Code</w:t>
      </w:r>
      <w:r>
        <w:rPr>
          <w:rFonts w:ascii="Arial" w:hAnsi="Arial" w:eastAsia="Arial" w:cs="Arial"/>
          <w:sz w:val="22"/>
          <w:szCs w:val="22"/>
        </w:rPr>
        <w:t xml:space="preserve"> — Terraform or Pulumi. All cloud resources defined in code and version-controlled. No manually provisioned resources in production.</w:t>
      </w:r>
    </w:p>
    <w:p w14:paraId="072F544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Multi-region deployment</w:t>
      </w:r>
      <w:r>
        <w:rPr>
          <w:rFonts w:ascii="Arial" w:hAnsi="Arial" w:eastAsia="Arial" w:cs="Arial"/>
          <w:sz w:val="22"/>
          <w:szCs w:val="22"/>
        </w:rPr>
        <w:t xml:space="preserve"> — Deploy to at least two regions for high-availability products with global users.</w:t>
      </w:r>
    </w:p>
    <w:p w14:paraId="4418907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Enterprise SSO</w:t>
      </w:r>
      <w:r>
        <w:rPr>
          <w:rFonts w:ascii="Arial" w:hAnsi="Arial" w:eastAsia="Arial" w:cs="Arial"/>
          <w:sz w:val="22"/>
          <w:szCs w:val="22"/>
        </w:rPr>
        <w:t xml:space="preserve"> — WorkOS for SAML and OIDC federation plus SCIM directory sync. Required by enterprise customers before they sign.</w:t>
      </w:r>
    </w:p>
    <w:p w14:paraId="3C5ED75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SOC 2 technical controls</w:t>
      </w:r>
      <w:r>
        <w:rPr>
          <w:rFonts w:ascii="Arial" w:hAnsi="Arial" w:eastAsia="Arial" w:cs="Arial"/>
          <w:sz w:val="22"/>
          <w:szCs w:val="22"/>
        </w:rPr>
        <w:t xml:space="preserve"> — Audit logging, access reviews, encryption at rest and in transit, vulnerability management. Vanta maps these automatically to evidence.</w:t>
      </w:r>
    </w:p>
    <w:p w14:paraId="02D6A4F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Annual penetration test</w:t>
      </w:r>
      <w:r>
        <w:rPr>
          <w:rFonts w:ascii="Arial" w:hAnsi="Arial" w:eastAsia="Arial" w:cs="Arial"/>
          <w:sz w:val="22"/>
          <w:szCs w:val="22"/>
        </w:rPr>
        <w:t xml:space="preserve"> — External pen test by a reputable security firm. Findings remediated before enterprise contract signing.</w:t>
      </w:r>
    </w:p>
    <w:p w14:paraId="51437DAF">
      <w:pPr>
        <w:spacing w:after="0"/>
      </w:pPr>
      <w:r>
        <w:br w:type="page"/>
      </w:r>
    </w:p>
    <w:p w14:paraId="179B1E63">
      <w:pPr>
        <w:pStyle w:val="2"/>
      </w:pPr>
      <w:r>
        <w:t>Workflow 5 — Brand &amp; Product Foundation</w:t>
      </w:r>
    </w:p>
    <w:p w14:paraId="61CE9AB1">
      <w:pPr>
        <w:spacing w:before="0" w:after="2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Establish brand identity, design system, and product discovery infrastructure from name to live product.</w:t>
      </w:r>
    </w:p>
    <w:p w14:paraId="05695EA9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LAUNCH — WEEK 0 TO 3</w:t>
      </w:r>
    </w:p>
    <w:p w14:paraId="1569D62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ICP definition</w:t>
      </w:r>
      <w:r>
        <w:rPr>
          <w:rFonts w:ascii="Arial" w:hAnsi="Arial" w:eastAsia="Arial" w:cs="Arial"/>
          <w:sz w:val="22"/>
          <w:szCs w:val="22"/>
        </w:rPr>
        <w:t xml:space="preserve"> — Define the Ideal Customer Profile before designing or writing anything. Be specific: job title, company size, industry, pain point, and trigger event. One primary ICP, one secondary maximum.</w:t>
      </w:r>
    </w:p>
    <w:p w14:paraId="12B58F7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Positioning statement</w:t>
      </w:r>
      <w:r>
        <w:rPr>
          <w:rFonts w:ascii="Arial" w:hAnsi="Arial" w:eastAsia="Arial" w:cs="Arial"/>
          <w:sz w:val="22"/>
          <w:szCs w:val="22"/>
        </w:rPr>
        <w:t xml:space="preserve"> — One paragraph: what you do, for whom, why you are different, and why now. Used as the foundation for all copy and design.</w:t>
      </w:r>
    </w:p>
    <w:p w14:paraId="7A9C9A3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Confirm name</w:t>
      </w:r>
      <w:r>
        <w:rPr>
          <w:rFonts w:ascii="Arial" w:hAnsi="Arial" w:eastAsia="Arial" w:cs="Arial"/>
          <w:sz w:val="22"/>
          <w:szCs w:val="22"/>
        </w:rPr>
        <w:t xml:space="preserve"> — Cross-reference with Workflow 1 Step 1. Confirm domain availability, LinkedIn handle, and trademark clearance.</w:t>
      </w:r>
    </w:p>
    <w:p w14:paraId="3420224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Logo design</w:t>
      </w:r>
      <w:r>
        <w:rPr>
          <w:rFonts w:ascii="Arial" w:hAnsi="Arial" w:eastAsia="Arial" w:cs="Arial"/>
          <w:sz w:val="22"/>
          <w:szCs w:val="22"/>
        </w:rPr>
        <w:t xml:space="preserve"> — Start in Figma. Wordmark or mark. Deliver: SVG vector, PNG on light background, PNG on dark background, favicon at 32x32 and 192x192.</w:t>
      </w:r>
    </w:p>
    <w:p w14:paraId="1100ADC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Colour palette</w:t>
      </w:r>
      <w:r>
        <w:rPr>
          <w:rFonts w:ascii="Arial" w:hAnsi="Arial" w:eastAsia="Arial" w:cs="Arial"/>
          <w:sz w:val="22"/>
          <w:szCs w:val="22"/>
        </w:rPr>
        <w:t xml:space="preserve"> — Primary, secondary, neutral scale, and semantic colours (success, error, warning, info). Document as hex codes and CSS custom properties.</w:t>
      </w:r>
    </w:p>
    <w:p w14:paraId="21D6EB0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Typography</w:t>
      </w:r>
      <w:r>
        <w:rPr>
          <w:rFonts w:ascii="Arial" w:hAnsi="Arial" w:eastAsia="Arial" w:cs="Arial"/>
          <w:sz w:val="22"/>
          <w:szCs w:val="22"/>
        </w:rPr>
        <w:t xml:space="preserve"> — One heading font and one body font. Define the full type scale: display, h1 through h4, body large, body, caption.</w:t>
      </w:r>
    </w:p>
    <w:p w14:paraId="4EA2929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Voice and tone guide</w:t>
      </w:r>
      <w:r>
        <w:rPr>
          <w:rFonts w:ascii="Arial" w:hAnsi="Arial" w:eastAsia="Arial" w:cs="Arial"/>
          <w:sz w:val="22"/>
          <w:szCs w:val="22"/>
        </w:rPr>
        <w:t xml:space="preserve"> — Three to five brand personality attributes with examples of on-brand versus off-brand writing. One page. Referenced by everyone who writes.</w:t>
      </w:r>
    </w:p>
    <w:p w14:paraId="1A8E4DF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Foundation doc</w:t>
      </w:r>
      <w:r>
        <w:rPr>
          <w:rFonts w:ascii="Arial" w:hAnsi="Arial" w:eastAsia="Arial" w:cs="Arial"/>
          <w:sz w:val="22"/>
          <w:szCs w:val="22"/>
        </w:rPr>
        <w:t xml:space="preserve"> — One internal page: company purpose, ICP, positioning statement, and voice guide summary. Shared with every team member and updated quarterly.</w:t>
      </w:r>
    </w:p>
    <w:p w14:paraId="0227466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Marketing website</w:t>
      </w:r>
      <w:r>
        <w:rPr>
          <w:rFonts w:ascii="Arial" w:hAnsi="Arial" w:eastAsia="Arial" w:cs="Arial"/>
          <w:sz w:val="22"/>
          <w:szCs w:val="22"/>
        </w:rPr>
        <w:t xml:space="preserve"> — Webflow or Framer. Minimum viable structure: hero with value proposition, problem, solution, early social proof, and a call to action. Waitlist or contact form live.</w:t>
      </w:r>
    </w:p>
    <w:p w14:paraId="691BDC74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Set up project management</w:t>
      </w:r>
      <w:r>
        <w:rPr>
          <w:rFonts w:ascii="Arial" w:hAnsi="Arial" w:eastAsia="Arial" w:cs="Arial"/>
          <w:sz w:val="22"/>
          <w:szCs w:val="22"/>
        </w:rPr>
        <w:t xml:space="preserve"> — Linear. Create initial backlog. Define sprint or cycle cadence. Link GitHub repository for pull request tracking.</w:t>
      </w:r>
    </w:p>
    <w:p w14:paraId="2AECFA1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Install product analytics</w:t>
      </w:r>
      <w:r>
        <w:rPr>
          <w:rFonts w:ascii="Arial" w:hAnsi="Arial" w:eastAsia="Arial" w:cs="Arial"/>
          <w:sz w:val="22"/>
          <w:szCs w:val="22"/>
        </w:rPr>
        <w:t xml:space="preserve"> — PostHog. Define and instrument five to ten core events before the first user signs up: account created, activation milestone, feature used, upgraded, churned.</w:t>
      </w:r>
    </w:p>
    <w:p w14:paraId="17FD498B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@10 EMPLOYEES</w:t>
      </w:r>
    </w:p>
    <w:p w14:paraId="55E5085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Full design system</w:t>
      </w:r>
      <w:r>
        <w:rPr>
          <w:rFonts w:ascii="Arial" w:hAnsi="Arial" w:eastAsia="Arial" w:cs="Arial"/>
          <w:sz w:val="22"/>
          <w:szCs w:val="22"/>
        </w:rPr>
        <w:t xml:space="preserve"> — Figma component library: buttons, forms, typography, spacing, colour, and icons. Used by every designer and engineer from this point forward.</w:t>
      </w:r>
    </w:p>
    <w:p w14:paraId="657D9CC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Brand kit</w:t>
      </w:r>
      <w:r>
        <w:rPr>
          <w:rFonts w:ascii="Arial" w:hAnsi="Arial" w:eastAsia="Arial" w:cs="Arial"/>
          <w:sz w:val="22"/>
          <w:szCs w:val="22"/>
        </w:rPr>
        <w:t xml:space="preserve"> — Packaged brand assets: logo files in all formats, colour codes, font files, and a one-page brand usage guide. Stored in shared Drive.</w:t>
      </w:r>
    </w:p>
    <w:p w14:paraId="2E3B8A1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Dev Mode handoff</w:t>
      </w:r>
      <w:r>
        <w:rPr>
          <w:rFonts w:ascii="Arial" w:hAnsi="Arial" w:eastAsia="Arial" w:cs="Arial"/>
          <w:sz w:val="22"/>
          <w:szCs w:val="22"/>
        </w:rPr>
        <w:t xml:space="preserve"> — Enable Figma Dev Mode. Engineers inspect designs without interrupting designers.</w:t>
      </w:r>
    </w:p>
    <w:p w14:paraId="24DEF37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Company OKRs</w:t>
      </w:r>
      <w:r>
        <w:rPr>
          <w:rFonts w:ascii="Arial" w:hAnsi="Arial" w:eastAsia="Arial" w:cs="Arial"/>
          <w:sz w:val="22"/>
          <w:szCs w:val="22"/>
        </w:rPr>
        <w:t xml:space="preserve"> — Three company-level objectives with measurable key results. Published and visible to the whole team. Reviewed monthly.</w:t>
      </w:r>
    </w:p>
    <w:p w14:paraId="0867ECD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Product roadmap</w:t>
      </w:r>
      <w:r>
        <w:rPr>
          <w:rFonts w:ascii="Arial" w:hAnsi="Arial" w:eastAsia="Arial" w:cs="Arial"/>
          <w:sz w:val="22"/>
          <w:szCs w:val="22"/>
        </w:rPr>
        <w:t xml:space="preserve"> — Three to six month roadmap in Linear organised by theme, not just features. Shared across the team.</w:t>
      </w:r>
    </w:p>
    <w:p w14:paraId="3EFAE1E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Internal wiki</w:t>
      </w:r>
      <w:r>
        <w:rPr>
          <w:rFonts w:ascii="Arial" w:hAnsi="Arial" w:eastAsia="Arial" w:cs="Arial"/>
          <w:sz w:val="22"/>
          <w:szCs w:val="22"/>
        </w:rPr>
        <w:t xml:space="preserve"> — Notion. Core pages: company handbook, product architecture, API documentation, team processes, meeting notes, and onboarding guide.</w:t>
      </w:r>
    </w:p>
    <w:p w14:paraId="7721D22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Feature flags and A/B testing</w:t>
      </w:r>
      <w:r>
        <w:rPr>
          <w:rFonts w:ascii="Arial" w:hAnsi="Arial" w:eastAsia="Arial" w:cs="Arial"/>
          <w:sz w:val="22"/>
          <w:szCs w:val="22"/>
        </w:rPr>
        <w:t xml:space="preserve"> — Statsig or PostHog. Gradual rollouts to beta users before full release. A/B testing on key acquisition and activation flows.</w:t>
      </w:r>
    </w:p>
    <w:p w14:paraId="5DC73372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@50 EMPLOYEES</w:t>
      </w:r>
    </w:p>
    <w:p w14:paraId="5BEBF69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Design tokens in code</w:t>
      </w:r>
      <w:r>
        <w:rPr>
          <w:rFonts w:ascii="Arial" w:hAnsi="Arial" w:eastAsia="Arial" w:cs="Arial"/>
          <w:sz w:val="22"/>
          <w:szCs w:val="22"/>
        </w:rPr>
        <w:t xml:space="preserve"> — Style Dictionary or equivalent. Design tokens for colour, spacing, and typography synced directly from Figma to the codebase. Single source of truth.</w:t>
      </w:r>
    </w:p>
    <w:p w14:paraId="4076EB62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Brand governance</w:t>
      </w:r>
      <w:r>
        <w:rPr>
          <w:rFonts w:ascii="Arial" w:hAnsi="Arial" w:eastAsia="Arial" w:cs="Arial"/>
          <w:sz w:val="22"/>
          <w:szCs w:val="22"/>
        </w:rPr>
        <w:t xml:space="preserve"> — Written guidelines for all brand usage with an approval process for exceptions. Applied to all external communications.</w:t>
      </w:r>
    </w:p>
    <w:p w14:paraId="5676EB9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Data warehouse</w:t>
      </w:r>
      <w:r>
        <w:rPr>
          <w:rFonts w:ascii="Arial" w:hAnsi="Arial" w:eastAsia="Arial" w:cs="Arial"/>
          <w:sz w:val="22"/>
          <w:szCs w:val="22"/>
        </w:rPr>
        <w:t xml:space="preserve"> — Snowflake or BigQuery. Consolidates product analytics, financial data, and support data for business intelligence reporting.</w:t>
      </w:r>
    </w:p>
    <w:p w14:paraId="3A803D2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BI tooling</w:t>
      </w:r>
      <w:r>
        <w:rPr>
          <w:rFonts w:ascii="Arial" w:hAnsi="Arial" w:eastAsia="Arial" w:cs="Arial"/>
          <w:sz w:val="22"/>
          <w:szCs w:val="22"/>
        </w:rPr>
        <w:t xml:space="preserve"> — Metabase or Looker. Self-serve analytics dashboards accessible to all non-technical team members.</w:t>
      </w:r>
    </w:p>
    <w:p w14:paraId="3CCD5E72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Versioned developer documentation</w:t>
      </w:r>
      <w:r>
        <w:rPr>
          <w:rFonts w:ascii="Arial" w:hAnsi="Arial" w:eastAsia="Arial" w:cs="Arial"/>
          <w:sz w:val="22"/>
          <w:szCs w:val="22"/>
        </w:rPr>
        <w:t xml:space="preserve"> — Mintlify or GitBook. Versioned API reference, SDK guides, and changelog. Required for enterprise customers and developer adoption.</w:t>
      </w:r>
    </w:p>
    <w:p w14:paraId="1732C5A8">
      <w:pPr>
        <w:spacing w:after="0"/>
      </w:pPr>
      <w:r>
        <w:br w:type="page"/>
      </w:r>
    </w:p>
    <w:p w14:paraId="08F33433">
      <w:pPr>
        <w:pStyle w:val="2"/>
      </w:pPr>
      <w:r>
        <w:t>Workflow 6 — People &amp; HR</w:t>
      </w:r>
    </w:p>
    <w:p w14:paraId="247F2B66">
      <w:pPr>
        <w:spacing w:before="0" w:after="2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From founder legal setup to a compliant, scaled HR function.</w:t>
      </w:r>
    </w:p>
    <w:p w14:paraId="15CC58EB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LAUNCH — WEEK 1 TO 2, IMMEDIATELY POST-INCORPORATION</w:t>
      </w:r>
    </w:p>
    <w:p w14:paraId="03D3E4A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Founder IP assignment and PIIA</w:t>
      </w:r>
      <w:r>
        <w:rPr>
          <w:rFonts w:ascii="Arial" w:hAnsi="Arial" w:eastAsia="Arial" w:cs="Arial"/>
          <w:sz w:val="22"/>
          <w:szCs w:val="22"/>
        </w:rPr>
        <w:t xml:space="preserve"> — Every co-founder signs both documents before any product work continues. See Workflow 2 Steps 1 and 2.</w:t>
      </w:r>
    </w:p>
    <w:p w14:paraId="57A0C28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Founder vesting schedule documented</w:t>
      </w:r>
      <w:r>
        <w:rPr>
          <w:rFonts w:ascii="Arial" w:hAnsi="Arial" w:eastAsia="Arial" w:cs="Arial"/>
          <w:sz w:val="22"/>
          <w:szCs w:val="22"/>
        </w:rPr>
        <w:t xml:space="preserve"> — In the cap table and in the founder agreement. Standard: 4-year vest, 1-year cliff. Departure provisions signed.</w:t>
      </w:r>
    </w:p>
    <w:p w14:paraId="0ED4DA9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Contractor agreements</w:t>
      </w:r>
      <w:r>
        <w:rPr>
          <w:rFonts w:ascii="Arial" w:hAnsi="Arial" w:eastAsia="Arial" w:cs="Arial"/>
          <w:sz w:val="22"/>
          <w:szCs w:val="22"/>
        </w:rPr>
        <w:t xml:space="preserve"> — Every external contributor signs before starting work. IP assignment clause mandatory. No work without a signed agreement.</w:t>
      </w:r>
    </w:p>
    <w:p w14:paraId="75F6158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Payroll provider account created</w:t>
      </w:r>
      <w:r>
        <w:rPr>
          <w:rFonts w:ascii="Arial" w:hAnsi="Arial" w:eastAsia="Arial" w:cs="Arial"/>
          <w:sz w:val="22"/>
          <w:szCs w:val="22"/>
        </w:rPr>
        <w:t xml:space="preserve"> — Set up Gusto (US) or Deel (international) now, even if founders take no salary yet. Onboarding takes time and the account needs to be live before the first hire.</w:t>
      </w:r>
    </w:p>
    <w:p w14:paraId="048377F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Password manager deployed</w:t>
      </w:r>
      <w:r>
        <w:rPr>
          <w:rFonts w:ascii="Arial" w:hAnsi="Arial" w:eastAsia="Arial" w:cs="Arial"/>
          <w:sz w:val="22"/>
          <w:szCs w:val="22"/>
        </w:rPr>
        <w:t xml:space="preserve"> — 1Password Teams. Every team member enrolled before receiving access to any company tool.</w:t>
      </w:r>
    </w:p>
    <w:p w14:paraId="48CA8584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Device security policy</w:t>
      </w:r>
      <w:r>
        <w:rPr>
          <w:rFonts w:ascii="Arial" w:hAnsi="Arial" w:eastAsia="Arial" w:cs="Arial"/>
          <w:sz w:val="22"/>
          <w:szCs w:val="22"/>
        </w:rPr>
        <w:t xml:space="preserve"> — One page: full-disk encryption required, screen lock on, no personal accounts on work devices, VPN when on public wifi.</w:t>
      </w:r>
    </w:p>
    <w:p w14:paraId="40451D9A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@10 EMPLOYEES — FIRST HIRE THROUGH THE TENTH</w:t>
      </w:r>
    </w:p>
    <w:p w14:paraId="745D1F2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Offer letter template</w:t>
      </w:r>
      <w:r>
        <w:rPr>
          <w:rFonts w:ascii="Arial" w:hAnsi="Arial" w:eastAsia="Arial" w:cs="Arial"/>
          <w:sz w:val="22"/>
          <w:szCs w:val="22"/>
        </w:rPr>
        <w:t xml:space="preserve"> — Standard offer letter: role, compensation, start date, equity grant reference, and PIIA attachment. Have an employment lawyer review once.</w:t>
      </w:r>
    </w:p>
    <w:p w14:paraId="2E9A73A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Employee PIIA</w:t>
      </w:r>
      <w:r>
        <w:rPr>
          <w:rFonts w:ascii="Arial" w:hAnsi="Arial" w:eastAsia="Arial" w:cs="Arial"/>
          <w:sz w:val="22"/>
          <w:szCs w:val="22"/>
        </w:rPr>
        <w:t xml:space="preserve"> — Signed by the employee before their start date. No exceptions. Attach to offer letter.</w:t>
      </w:r>
    </w:p>
    <w:p w14:paraId="6C8BD2C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Employment contract</w:t>
      </w:r>
      <w:r>
        <w:rPr>
          <w:rFonts w:ascii="Arial" w:hAnsi="Arial" w:eastAsia="Arial" w:cs="Arial"/>
          <w:sz w:val="22"/>
          <w:szCs w:val="22"/>
        </w:rPr>
        <w:t xml:space="preserve"> — Full-time employment agreement. Signed on day one alongside the PIIA.</w:t>
      </w:r>
    </w:p>
    <w:p w14:paraId="6380E70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Add employee to payroll</w:t>
      </w:r>
      <w:r>
        <w:rPr>
          <w:rFonts w:ascii="Arial" w:hAnsi="Arial" w:eastAsia="Arial" w:cs="Arial"/>
          <w:sz w:val="22"/>
          <w:szCs w:val="22"/>
        </w:rPr>
        <w:t xml:space="preserve"> — Added to Gusto or Rippling. Direct deposit configured. W-4 and state tax forms collected on day one.</w:t>
      </w:r>
    </w:p>
    <w:p w14:paraId="1B6DD9A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Benefits enrollment</w:t>
      </w:r>
      <w:r>
        <w:rPr>
          <w:rFonts w:ascii="Arial" w:hAnsi="Arial" w:eastAsia="Arial" w:cs="Arial"/>
          <w:sz w:val="22"/>
          <w:szCs w:val="22"/>
        </w:rPr>
        <w:t xml:space="preserve"> — Health, dental, and vision insurance offered within 30 days of start date. Gusto Benefits or a dedicated broker.</w:t>
      </w:r>
    </w:p>
    <w:p w14:paraId="6FC169F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Employee handbook published</w:t>
      </w:r>
      <w:r>
        <w:rPr>
          <w:rFonts w:ascii="Arial" w:hAnsi="Arial" w:eastAsia="Arial" w:cs="Arial"/>
          <w:sz w:val="22"/>
          <w:szCs w:val="22"/>
        </w:rPr>
        <w:t xml:space="preserve"> — Policies: PTO, sick leave, working hours, code of conduct, anti-harassment, expense reimbursement, and remote work. Reviewed by an employment lawyer before distribution.</w:t>
      </w:r>
    </w:p>
    <w:p w14:paraId="2D7189F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Onboarding checklist</w:t>
      </w:r>
      <w:r>
        <w:rPr>
          <w:rFonts w:ascii="Arial" w:hAnsi="Arial" w:eastAsia="Arial" w:cs="Arial"/>
          <w:sz w:val="22"/>
          <w:szCs w:val="22"/>
        </w:rPr>
        <w:t xml:space="preserve"> — Day 1 checklist: accounts provisioned in all tools, device enrolled in MDM, calendar access granted, team introductions done, and first-week plan handed over.</w:t>
      </w:r>
    </w:p>
    <w:p w14:paraId="50ADF7B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MDM deployment</w:t>
      </w:r>
      <w:r>
        <w:rPr>
          <w:rFonts w:ascii="Arial" w:hAnsi="Arial" w:eastAsia="Arial" w:cs="Arial"/>
          <w:sz w:val="22"/>
          <w:szCs w:val="22"/>
        </w:rPr>
        <w:t xml:space="preserve"> — Jamf (Apple-first) or JumpCloud (mixed OS). Device enrolled before the employee starts using it for work.</w:t>
      </w:r>
    </w:p>
    <w:p w14:paraId="5DB8B9A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ATS setup</w:t>
      </w:r>
      <w:r>
        <w:rPr>
          <w:rFonts w:ascii="Arial" w:hAnsi="Arial" w:eastAsia="Arial" w:cs="Arial"/>
          <w:sz w:val="22"/>
          <w:szCs w:val="22"/>
        </w:rPr>
        <w:t xml:space="preserve"> — Ashby or Workable. Structured interview process documented for every open role before posting.</w:t>
      </w:r>
    </w:p>
    <w:p w14:paraId="79C1522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Referral programme</w:t>
      </w:r>
      <w:r>
        <w:rPr>
          <w:rFonts w:ascii="Arial" w:hAnsi="Arial" w:eastAsia="Arial" w:cs="Arial"/>
          <w:sz w:val="22"/>
          <w:szCs w:val="22"/>
        </w:rPr>
        <w:t xml:space="preserve"> — Formal employee referral programme with a defined bonus. Announce in Slack when a role opens.</w:t>
      </w:r>
    </w:p>
    <w:p w14:paraId="1444A0CB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@50 EMPLOYEES</w:t>
      </w:r>
    </w:p>
    <w:p w14:paraId="2DD4FB64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Consolidate onto Rippling</w:t>
      </w:r>
      <w:r>
        <w:rPr>
          <w:rFonts w:ascii="Arial" w:hAnsi="Arial" w:eastAsia="Arial" w:cs="Arial"/>
          <w:sz w:val="22"/>
          <w:szCs w:val="22"/>
        </w:rPr>
        <w:t xml:space="preserve"> — Unify HR, IT, payroll, and device management onto Rippling if not already done. Critical for managing provisioning and deprovisioning at scale.</w:t>
      </w:r>
    </w:p>
    <w:p w14:paraId="2B2908A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Head of People hire</w:t>
      </w:r>
      <w:r>
        <w:rPr>
          <w:rFonts w:ascii="Arial" w:hAnsi="Arial" w:eastAsia="Arial" w:cs="Arial"/>
          <w:sz w:val="22"/>
          <w:szCs w:val="22"/>
        </w:rPr>
        <w:t xml:space="preserve"> — A dedicated HR function is necessary before reaching 50 employees. Cannot scale compliance, culture, and performance without it.</w:t>
      </w:r>
    </w:p>
    <w:p w14:paraId="2B90274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Compensation bands</w:t>
      </w:r>
      <w:r>
        <w:rPr>
          <w:rFonts w:ascii="Arial" w:hAnsi="Arial" w:eastAsia="Arial" w:cs="Arial"/>
          <w:sz w:val="22"/>
          <w:szCs w:val="22"/>
        </w:rPr>
        <w:t xml:space="preserve"> — Salary ranges by level and function, benchmarked using Radford, Levels.fyi, or Carta Total Comp. Published internally.</w:t>
      </w:r>
    </w:p>
    <w:p w14:paraId="3C49F05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Performance review cycle</w:t>
      </w:r>
      <w:r>
        <w:rPr>
          <w:rFonts w:ascii="Arial" w:hAnsi="Arial" w:eastAsia="Arial" w:cs="Arial"/>
          <w:sz w:val="22"/>
          <w:szCs w:val="22"/>
        </w:rPr>
        <w:t xml:space="preserve"> — Bi-annual formal cycle: self-review, manager review, calibration session, and written feedback delivered. Use Lattice.</w:t>
      </w:r>
    </w:p>
    <w:p w14:paraId="1A9BDDD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Promotion framework</w:t>
      </w:r>
      <w:r>
        <w:rPr>
          <w:rFonts w:ascii="Arial" w:hAnsi="Arial" w:eastAsia="Arial" w:cs="Arial"/>
          <w:sz w:val="22"/>
          <w:szCs w:val="22"/>
        </w:rPr>
        <w:t xml:space="preserve"> — Defined and documented criteria for moving between levels. Reduces bias, improves retention, and makes expectations clear.</w:t>
      </w:r>
    </w:p>
    <w:p w14:paraId="1D6442A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401k plan</w:t>
      </w:r>
      <w:r>
        <w:rPr>
          <w:rFonts w:ascii="Arial" w:hAnsi="Arial" w:eastAsia="Arial" w:cs="Arial"/>
          <w:sz w:val="22"/>
          <w:szCs w:val="22"/>
        </w:rPr>
        <w:t xml:space="preserve"> — Set up if not already done. Guideline or Human Interest via Gusto. Competitive benefit at this stage.</w:t>
      </w:r>
    </w:p>
    <w:p w14:paraId="332AC37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Engagement survey</w:t>
      </w:r>
      <w:r>
        <w:rPr>
          <w:rFonts w:ascii="Arial" w:hAnsi="Arial" w:eastAsia="Arial" w:cs="Arial"/>
          <w:sz w:val="22"/>
          <w:szCs w:val="22"/>
        </w:rPr>
        <w:t xml:space="preserve"> — Culture Amp or Lattice. Twice a year. Results reviewed by leadership and actioned within 30 days.</w:t>
      </w:r>
    </w:p>
    <w:p w14:paraId="7EABDA92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Multi-state and global payroll</w:t>
      </w:r>
      <w:r>
        <w:rPr>
          <w:rFonts w:ascii="Arial" w:hAnsi="Arial" w:eastAsia="Arial" w:cs="Arial"/>
          <w:sz w:val="22"/>
          <w:szCs w:val="22"/>
        </w:rPr>
        <w:t xml:space="preserve"> — If the team spans multiple states or countries, consolidate in Rippling or add Deel for international EOR coverage.</w:t>
      </w:r>
    </w:p>
    <w:p w14:paraId="1419830A">
      <w:pPr>
        <w:spacing w:after="0"/>
      </w:pPr>
      <w:r>
        <w:br w:type="page"/>
      </w:r>
    </w:p>
    <w:p w14:paraId="76D9641F">
      <w:pPr>
        <w:pStyle w:val="2"/>
      </w:pPr>
      <w:r>
        <w:t>Workflow 7 — Go-to-Market</w:t>
      </w:r>
    </w:p>
    <w:p w14:paraId="344A745B">
      <w:pPr>
        <w:spacing w:before="0" w:after="2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From ICP definition to a repeatable, measurable sales and marketing motion.</w:t>
      </w:r>
    </w:p>
    <w:p w14:paraId="4F57B475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LAUNCH — WEEKS 2 TO 8</w:t>
      </w:r>
    </w:p>
    <w:p w14:paraId="271E2B7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ICP definition</w:t>
      </w:r>
      <w:r>
        <w:rPr>
          <w:rFonts w:ascii="Arial" w:hAnsi="Arial" w:eastAsia="Arial" w:cs="Arial"/>
          <w:sz w:val="22"/>
          <w:szCs w:val="22"/>
        </w:rPr>
        <w:t xml:space="preserve"> — One primary Ideal Customer Profile. Be specific: job title, company size, industry vertical, trigger event, and core pain point. Validated through at least five conversations before written down.</w:t>
      </w:r>
    </w:p>
    <w:p w14:paraId="651C477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Sales messaging</w:t>
      </w:r>
      <w:r>
        <w:rPr>
          <w:rFonts w:ascii="Arial" w:hAnsi="Arial" w:eastAsia="Arial" w:cs="Arial"/>
          <w:sz w:val="22"/>
          <w:szCs w:val="22"/>
        </w:rPr>
        <w:t xml:space="preserve"> — Value proposition mapped to the ICP's pain point. Three core messages. Draft them in conversations first, write them down second.</w:t>
      </w:r>
    </w:p>
    <w:p w14:paraId="5D39F63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Client deck</w:t>
      </w:r>
      <w:r>
        <w:rPr>
          <w:rFonts w:ascii="Arial" w:hAnsi="Arial" w:eastAsia="Arial" w:cs="Arial"/>
          <w:sz w:val="22"/>
          <w:szCs w:val="22"/>
        </w:rPr>
        <w:t xml:space="preserve"> — Ten to fifteen slides: problem, solution, how it works, early evidence, pricing, and call to action. Shared via DocSend to track engagement.</w:t>
      </w:r>
    </w:p>
    <w:p w14:paraId="3834B12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Investor deck</w:t>
      </w:r>
      <w:r>
        <w:rPr>
          <w:rFonts w:ascii="Arial" w:hAnsi="Arial" w:eastAsia="Arial" w:cs="Arial"/>
          <w:sz w:val="22"/>
          <w:szCs w:val="22"/>
        </w:rPr>
        <w:t xml:space="preserve"> — Separate from the client deck. Ten slides: problem, solution, market size, traction, team, and ask. DocSend analytics enabled.</w:t>
      </w:r>
    </w:p>
    <w:p w14:paraId="78A9C9C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LinkedIn company page</w:t>
      </w:r>
      <w:r>
        <w:rPr>
          <w:rFonts w:ascii="Arial" w:hAnsi="Arial" w:eastAsia="Arial" w:cs="Arial"/>
          <w:sz w:val="22"/>
          <w:szCs w:val="22"/>
        </w:rPr>
        <w:t xml:space="preserve"> — Branded and live before outreach starts. Post ICP-relevant content from day one. Founder personal page also optimised.</w:t>
      </w:r>
    </w:p>
    <w:p w14:paraId="14DDE47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CRM setup</w:t>
      </w:r>
      <w:r>
        <w:rPr>
          <w:rFonts w:ascii="Arial" w:hAnsi="Arial" w:eastAsia="Arial" w:cs="Arial"/>
          <w:sz w:val="22"/>
          <w:szCs w:val="22"/>
        </w:rPr>
        <w:t xml:space="preserve"> — HubSpot free CRM or Attio. Every conversation logged from day one. This discipline is almost impossible to impose retroactively.</w:t>
      </w:r>
    </w:p>
    <w:p w14:paraId="2E78E0A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Initial prospect list</w:t>
      </w:r>
      <w:r>
        <w:rPr>
          <w:rFonts w:ascii="Arial" w:hAnsi="Arial" w:eastAsia="Arial" w:cs="Arial"/>
          <w:sz w:val="22"/>
          <w:szCs w:val="22"/>
        </w:rPr>
        <w:t xml:space="preserve"> — 50 to 100 ICP-matching companies identified. Apollo.io or Clay for enrichment. Decision-maker contacts identified on LinkedIn.</w:t>
      </w:r>
    </w:p>
    <w:p w14:paraId="2383727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First outreach</w:t>
      </w:r>
      <w:r>
        <w:rPr>
          <w:rFonts w:ascii="Arial" w:hAnsi="Arial" w:eastAsia="Arial" w:cs="Arial"/>
          <w:sz w:val="22"/>
          <w:szCs w:val="22"/>
        </w:rPr>
        <w:t xml:space="preserve"> — Manual and personalised emails and LinkedIn messages to the first 20 prospects. No automation yet. Objective is to learn what resonates, not to scale.</w:t>
      </w:r>
    </w:p>
    <w:p w14:paraId="25E079E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Website analytics live</w:t>
      </w:r>
      <w:r>
        <w:rPr>
          <w:rFonts w:ascii="Arial" w:hAnsi="Arial" w:eastAsia="Arial" w:cs="Arial"/>
          <w:sz w:val="22"/>
          <w:szCs w:val="22"/>
        </w:rPr>
        <w:t xml:space="preserve"> — GA4 or Plausible on the marketing site. UTM parameters on all outbound links before the first campaign.</w:t>
      </w:r>
    </w:p>
    <w:p w14:paraId="05D57F1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Customer support inbox</w:t>
      </w:r>
      <w:r>
        <w:rPr>
          <w:rFonts w:ascii="Arial" w:hAnsi="Arial" w:eastAsia="Arial" w:cs="Arial"/>
          <w:sz w:val="22"/>
          <w:szCs w:val="22"/>
        </w:rPr>
        <w:t xml:space="preserve"> — A shared support@ alias or an Intercom widget on the site. Respond to every message within 24 hours.</w:t>
      </w:r>
    </w:p>
    <w:p w14:paraId="297D043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First paying customer</w:t>
      </w:r>
      <w:r>
        <w:rPr>
          <w:rFonts w:ascii="Arial" w:hAnsi="Arial" w:eastAsia="Arial" w:cs="Arial"/>
          <w:sz w:val="22"/>
          <w:szCs w:val="22"/>
        </w:rPr>
        <w:t xml:space="preserve"> — Get one paying customer before investing in automation. Proof that someone will pay, not just sign up.</w:t>
      </w:r>
    </w:p>
    <w:p w14:paraId="7D02BF82">
      <w:pPr>
        <w:spacing w:after="180"/>
        <w:ind w:left="64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 xml:space="preserve">Depends on:  </w:t>
      </w:r>
      <w:r>
        <w:rPr>
          <w:rFonts w:ascii="Arial" w:hAnsi="Arial" w:eastAsia="Arial" w:cs="Arial"/>
          <w:color w:val="666666"/>
          <w:sz w:val="20"/>
          <w:szCs w:val="20"/>
        </w:rPr>
        <w:t>Requires Workflow 5 Steps 1 and 9 (ICP and live website) and Workflow 3 Step 7 (Stripe payment processing).</w:t>
      </w:r>
    </w:p>
    <w:p w14:paraId="6A1A2720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@10 EMPLOYEES</w:t>
      </w:r>
    </w:p>
    <w:p w14:paraId="0BDD223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Welcome and onboarding email sequence</w:t>
      </w:r>
      <w:r>
        <w:rPr>
          <w:rFonts w:ascii="Arial" w:hAnsi="Arial" w:eastAsia="Arial" w:cs="Arial"/>
          <w:sz w:val="22"/>
          <w:szCs w:val="22"/>
        </w:rPr>
        <w:t xml:space="preserve"> — Automated email flow triggered on signup or trial start. Built in Loops or Brevo.</w:t>
      </w:r>
    </w:p>
    <w:p w14:paraId="55D002A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Outbound sequencing</w:t>
      </w:r>
      <w:r>
        <w:rPr>
          <w:rFonts w:ascii="Arial" w:hAnsi="Arial" w:eastAsia="Arial" w:cs="Arial"/>
          <w:sz w:val="22"/>
          <w:szCs w:val="22"/>
        </w:rPr>
        <w:t xml:space="preserve"> — Apollo or Instantly. Systematised outreach with A/B tested templates, tracking, and follow-up automation.</w:t>
      </w:r>
    </w:p>
    <w:p w14:paraId="1E0A2A9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Knowledge base</w:t>
      </w:r>
      <w:r>
        <w:rPr>
          <w:rFonts w:ascii="Arial" w:hAnsi="Arial" w:eastAsia="Arial" w:cs="Arial"/>
          <w:sz w:val="22"/>
          <w:szCs w:val="22"/>
        </w:rPr>
        <w:t xml:space="preserve"> — Help documentation live at help.yourdomain.com. Reduces support volume and gives prospects confidence in the product.</w:t>
      </w:r>
    </w:p>
    <w:p w14:paraId="3ADB1F4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Case studies</w:t>
      </w:r>
      <w:r>
        <w:rPr>
          <w:rFonts w:ascii="Arial" w:hAnsi="Arial" w:eastAsia="Arial" w:cs="Arial"/>
          <w:sz w:val="22"/>
          <w:szCs w:val="22"/>
        </w:rPr>
        <w:t xml:space="preserve"> — Document two or three early customer success stories with quantified outcomes. Used in deck, outreach, and website.</w:t>
      </w:r>
    </w:p>
    <w:p w14:paraId="4455C37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Sales playbook</w:t>
      </w:r>
      <w:r>
        <w:rPr>
          <w:rFonts w:ascii="Arial" w:hAnsi="Arial" w:eastAsia="Arial" w:cs="Arial"/>
          <w:sz w:val="22"/>
          <w:szCs w:val="22"/>
        </w:rPr>
        <w:t xml:space="preserve"> — Written document: ICP description, discovery question bank, objection handling, demo flow, and competitive positioning.</w:t>
      </w:r>
    </w:p>
    <w:p w14:paraId="4B34B04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NPS and CSAT measurement</w:t>
      </w:r>
      <w:r>
        <w:rPr>
          <w:rFonts w:ascii="Arial" w:hAnsi="Arial" w:eastAsia="Arial" w:cs="Arial"/>
          <w:sz w:val="22"/>
          <w:szCs w:val="22"/>
        </w:rPr>
        <w:t xml:space="preserve"> — Triggered after first 30 days of use and quarterly thereafter. Intercom or Typeform. Review results weekly.</w:t>
      </w:r>
    </w:p>
    <w:p w14:paraId="013D9CC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SEO foundation</w:t>
      </w:r>
      <w:r>
        <w:rPr>
          <w:rFonts w:ascii="Arial" w:hAnsi="Arial" w:eastAsia="Arial" w:cs="Arial"/>
          <w:sz w:val="22"/>
          <w:szCs w:val="22"/>
        </w:rPr>
        <w:t xml:space="preserve"> — Google Search Console configured. Sitemap submitted. Core keyword targets identified using Ahrefs or Semrush.</w:t>
      </w:r>
    </w:p>
    <w:p w14:paraId="69C3F484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Blog publishing cadence</w:t>
      </w:r>
      <w:r>
        <w:rPr>
          <w:rFonts w:ascii="Arial" w:hAnsi="Arial" w:eastAsia="Arial" w:cs="Arial"/>
          <w:sz w:val="22"/>
          <w:szCs w:val="22"/>
        </w:rPr>
        <w:t xml:space="preserve"> — Two posts per week minimum. Target informational keywords with clear buyer intent. Publish consistently.</w:t>
      </w:r>
    </w:p>
    <w:p w14:paraId="2983250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Referral programme</w:t>
      </w:r>
      <w:r>
        <w:rPr>
          <w:rFonts w:ascii="Arial" w:hAnsi="Arial" w:eastAsia="Arial" w:cs="Arial"/>
          <w:sz w:val="22"/>
          <w:szCs w:val="22"/>
        </w:rPr>
        <w:t xml:space="preserve"> — Formal incentive for customers who refer others. Documented, easy to find, actively promoted.</w:t>
      </w:r>
    </w:p>
    <w:p w14:paraId="076E701F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@50 EMPLOYEES</w:t>
      </w:r>
    </w:p>
    <w:p w14:paraId="7FC7032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Revenue operations (RevOps)</w:t>
      </w:r>
      <w:r>
        <w:rPr>
          <w:rFonts w:ascii="Arial" w:hAnsi="Arial" w:eastAsia="Arial" w:cs="Arial"/>
          <w:sz w:val="22"/>
          <w:szCs w:val="22"/>
        </w:rPr>
        <w:t xml:space="preserve"> — Dedicated RevOps function. Owns CRM hygiene, pipeline analytics, forecasting, and GTM tool stack management.</w:t>
      </w:r>
    </w:p>
    <w:p w14:paraId="3585F00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Account-based marketing (ABM)</w:t>
      </w:r>
      <w:r>
        <w:rPr>
          <w:rFonts w:ascii="Arial" w:hAnsi="Arial" w:eastAsia="Arial" w:cs="Arial"/>
          <w:sz w:val="22"/>
          <w:szCs w:val="22"/>
        </w:rPr>
        <w:t xml:space="preserve"> — Personalised multi-touch campaigns targeting a defined list of high-value accounts. Coordinated across sales and marketing.</w:t>
      </w:r>
    </w:p>
    <w:p w14:paraId="2EFD72A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Paid acquisition</w:t>
      </w:r>
      <w:r>
        <w:rPr>
          <w:rFonts w:ascii="Arial" w:hAnsi="Arial" w:eastAsia="Arial" w:cs="Arial"/>
          <w:sz w:val="22"/>
          <w:szCs w:val="22"/>
        </w:rPr>
        <w:t xml:space="preserve"> — Google Ads and LinkedIn Ads with proper UTM tracking and attribution. Start with tight ICP targeting before expanding.</w:t>
      </w:r>
    </w:p>
    <w:p w14:paraId="1C326C4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Partner and channel programme</w:t>
      </w:r>
      <w:r>
        <w:rPr>
          <w:rFonts w:ascii="Arial" w:hAnsi="Arial" w:eastAsia="Arial" w:cs="Arial"/>
          <w:sz w:val="22"/>
          <w:szCs w:val="22"/>
        </w:rPr>
        <w:t xml:space="preserve"> — Formal reseller or referral agreements. Partner onboarding, enablement materials, and co-selling process.</w:t>
      </w:r>
    </w:p>
    <w:p w14:paraId="5931A93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PR and analyst relations</w:t>
      </w:r>
      <w:r>
        <w:rPr>
          <w:rFonts w:ascii="Arial" w:hAnsi="Arial" w:eastAsia="Arial" w:cs="Arial"/>
          <w:sz w:val="22"/>
          <w:szCs w:val="22"/>
        </w:rPr>
        <w:t xml:space="preserve"> — PR agency or in-house. Executive thought leadership, press relationships. Gartner, Forrester, and G2 presence for enterprise sales credibility.</w:t>
      </w:r>
    </w:p>
    <w:p w14:paraId="0B53040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Demand generation team</w:t>
      </w:r>
      <w:r>
        <w:rPr>
          <w:rFonts w:ascii="Arial" w:hAnsi="Arial" w:eastAsia="Arial" w:cs="Arial"/>
          <w:sz w:val="22"/>
          <w:szCs w:val="22"/>
        </w:rPr>
        <w:t xml:space="preserve"> — Dedicated head of marketing and demand gen function. Content, paid, and partner channels managed as a unified programme.</w:t>
      </w:r>
    </w:p>
    <w:p w14:paraId="39EA3B92">
      <w:pPr>
        <w:spacing w:after="0"/>
      </w:pPr>
      <w:r>
        <w:br w:type="page"/>
      </w:r>
    </w:p>
    <w:p w14:paraId="56E0A762">
      <w:pPr>
        <w:pStyle w:val="2"/>
      </w:pPr>
      <w:r>
        <w:t>Workflow 8 — Operations &amp; Tooling</w:t>
      </w:r>
    </w:p>
    <w:p w14:paraId="76600FC0">
      <w:pPr>
        <w:spacing w:before="0" w:after="2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Build the operational backbone that keeps the company running day to day: communications, access management, and automation.</w:t>
      </w:r>
    </w:p>
    <w:p w14:paraId="38333195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LAUNCH — DAY 0</w:t>
      </w:r>
    </w:p>
    <w:p w14:paraId="65FC9F8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Google Workspace with custom domain email</w:t>
      </w:r>
      <w:r>
        <w:rPr>
          <w:rFonts w:ascii="Arial" w:hAnsi="Arial" w:eastAsia="Arial" w:cs="Arial"/>
          <w:sz w:val="22"/>
          <w:szCs w:val="22"/>
        </w:rPr>
        <w:t xml:space="preserve"> — Set up before anything else. Every founder gets a yourname@company.com address. This gates the business bank account application.</w:t>
      </w:r>
    </w:p>
    <w:p w14:paraId="4A379A13">
      <w:pPr>
        <w:spacing w:after="180"/>
        <w:ind w:left="64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 xml:space="preserve">Depends on:  </w:t>
      </w:r>
      <w:r>
        <w:rPr>
          <w:rFonts w:ascii="Arial" w:hAnsi="Arial" w:eastAsia="Arial" w:cs="Arial"/>
          <w:color w:val="666666"/>
          <w:sz w:val="20"/>
          <w:szCs w:val="20"/>
        </w:rPr>
        <w:t>Custom domain email is required before opening a bank account at Mercury and most other banks.</w:t>
      </w:r>
    </w:p>
    <w:p w14:paraId="49FD3CE2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Google Drive folder structure</w:t>
      </w:r>
      <w:r>
        <w:rPr>
          <w:rFonts w:ascii="Arial" w:hAnsi="Arial" w:eastAsia="Arial" w:cs="Arial"/>
          <w:sz w:val="22"/>
          <w:szCs w:val="22"/>
        </w:rPr>
        <w:t xml:space="preserve"> — Create top-level folders immediately: Company, Legal, Finance, Product, Marketing. Shared with all co-founders. Permissions by folder.</w:t>
      </w:r>
    </w:p>
    <w:p w14:paraId="7A3E806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Slack workspace</w:t>
      </w:r>
      <w:r>
        <w:rPr>
          <w:rFonts w:ascii="Arial" w:hAnsi="Arial" w:eastAsia="Arial" w:cs="Arial"/>
          <w:sz w:val="22"/>
          <w:szCs w:val="22"/>
        </w:rPr>
        <w:t xml:space="preserve"> — Core channels created on day one: general, dev, product, ops, finance, random. Communication norms posted in general.</w:t>
      </w:r>
    </w:p>
    <w:p w14:paraId="29A18BA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1Password Teams</w:t>
      </w:r>
      <w:r>
        <w:rPr>
          <w:rFonts w:ascii="Arial" w:hAnsi="Arial" w:eastAsia="Arial" w:cs="Arial"/>
          <w:sz w:val="22"/>
          <w:szCs w:val="22"/>
        </w:rPr>
        <w:t xml:space="preserve"> — Enrolled before any team member receives access to any company tool. Shared vaults: Company, Dev, Finance, Legal. No shared passwords outside 1Password.</w:t>
      </w:r>
    </w:p>
    <w:p w14:paraId="679078F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Google Meet or Zoom</w:t>
      </w:r>
      <w:r>
        <w:rPr>
          <w:rFonts w:ascii="Arial" w:hAnsi="Arial" w:eastAsia="Arial" w:cs="Arial"/>
          <w:sz w:val="22"/>
          <w:szCs w:val="22"/>
        </w:rPr>
        <w:t xml:space="preserve"> — Video conferencing live before the first external call. Recording policy written and shared.</w:t>
      </w:r>
    </w:p>
    <w:p w14:paraId="4C548F0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Calendly</w:t>
      </w:r>
      <w:r>
        <w:rPr>
          <w:rFonts w:ascii="Arial" w:hAnsi="Arial" w:eastAsia="Arial" w:cs="Arial"/>
          <w:sz w:val="22"/>
          <w:szCs w:val="22"/>
        </w:rPr>
        <w:t xml:space="preserve"> — External meeting booking link for all founders. Eliminates scheduling back-and-forth.</w:t>
      </w:r>
    </w:p>
    <w:p w14:paraId="081FE87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Loom</w:t>
      </w:r>
      <w:r>
        <w:rPr>
          <w:rFonts w:ascii="Arial" w:hAnsi="Arial" w:eastAsia="Arial" w:cs="Arial"/>
          <w:sz w:val="22"/>
          <w:szCs w:val="22"/>
        </w:rPr>
        <w:t xml:space="preserve"> — Async video for internal walkthroughs, investor demo recordings, and support explanations.</w:t>
      </w:r>
    </w:p>
    <w:p w14:paraId="4AEBFFB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Default calendar settings</w:t>
      </w:r>
      <w:r>
        <w:rPr>
          <w:rFonts w:ascii="Arial" w:hAnsi="Arial" w:eastAsia="Arial" w:cs="Arial"/>
          <w:sz w:val="22"/>
          <w:szCs w:val="22"/>
        </w:rPr>
        <w:t xml:space="preserve"> — Default meeting length set to 25 minutes, not 30. Blocks of deep-work time protected by default.</w:t>
      </w:r>
    </w:p>
    <w:p w14:paraId="665CBE17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@10 EMPLOYEES</w:t>
      </w:r>
    </w:p>
    <w:p w14:paraId="3682612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Offboarding checklist documented</w:t>
      </w:r>
      <w:r>
        <w:rPr>
          <w:rFonts w:ascii="Arial" w:hAnsi="Arial" w:eastAsia="Arial" w:cs="Arial"/>
          <w:sz w:val="22"/>
          <w:szCs w:val="22"/>
        </w:rPr>
        <w:t xml:space="preserve"> — Procedure for revocation of all access within one hour of a departure: 1Password, GitHub, Slack, Google Workspace, AWS, Stripe, CRM. This procedure matters most when it is needed most urgently.</w:t>
      </w:r>
    </w:p>
    <w:p w14:paraId="08E9929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SSO enforcement</w:t>
      </w:r>
      <w:r>
        <w:rPr>
          <w:rFonts w:ascii="Arial" w:hAnsi="Arial" w:eastAsia="Arial" w:cs="Arial"/>
          <w:sz w:val="22"/>
          <w:szCs w:val="22"/>
        </w:rPr>
        <w:t xml:space="preserve"> — Google Workspace SSO configured for Slack, Notion, Linear, and GitHub. Two-factor authentication mandatory across all accounts.</w:t>
      </w:r>
    </w:p>
    <w:p w14:paraId="129AF3F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MDM deployment</w:t>
      </w:r>
      <w:r>
        <w:rPr>
          <w:rFonts w:ascii="Arial" w:hAnsi="Arial" w:eastAsia="Arial" w:cs="Arial"/>
          <w:sz w:val="22"/>
          <w:szCs w:val="22"/>
        </w:rPr>
        <w:t xml:space="preserve"> — Jamf (Apple) or JumpCloud (mixed OS). All devices enrolled. Full-disk encryption and screen lock enforced and verified.</w:t>
      </w:r>
    </w:p>
    <w:p w14:paraId="7830A8F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Tool access review</w:t>
      </w:r>
      <w:r>
        <w:rPr>
          <w:rFonts w:ascii="Arial" w:hAnsi="Arial" w:eastAsia="Arial" w:cs="Arial"/>
          <w:sz w:val="22"/>
          <w:szCs w:val="22"/>
        </w:rPr>
        <w:t xml:space="preserve"> — Audit which team members have access to which tools quarterly. Remove access no longer needed.</w:t>
      </w:r>
    </w:p>
    <w:p w14:paraId="360A33A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Basic workflow automation</w:t>
      </w:r>
      <w:r>
        <w:rPr>
          <w:rFonts w:ascii="Arial" w:hAnsi="Arial" w:eastAsia="Arial" w:cs="Arial"/>
          <w:sz w:val="22"/>
          <w:szCs w:val="22"/>
        </w:rPr>
        <w:t xml:space="preserve"> — Zapier or Make. Start with high-value, low-risk automations: new Stripe customer notification to Slack, form submission to CRM, new GitHub issue to Linear.</w:t>
      </w:r>
    </w:p>
    <w:p w14:paraId="74910C1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Notion internal wiki</w:t>
      </w:r>
      <w:r>
        <w:rPr>
          <w:rFonts w:ascii="Arial" w:hAnsi="Arial" w:eastAsia="Arial" w:cs="Arial"/>
          <w:sz w:val="22"/>
          <w:szCs w:val="22"/>
        </w:rPr>
        <w:t xml:space="preserve"> — Core pages established: company handbook, product architecture, team processes, meeting notes, and new-hire onboarding guide.</w:t>
      </w:r>
    </w:p>
    <w:p w14:paraId="129FD32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Meeting hygiene standards</w:t>
      </w:r>
      <w:r>
        <w:rPr>
          <w:rFonts w:ascii="Arial" w:hAnsi="Arial" w:eastAsia="Arial" w:cs="Arial"/>
          <w:sz w:val="22"/>
          <w:szCs w:val="22"/>
        </w:rPr>
        <w:t xml:space="preserve"> — Every recurring meeting has a written agenda and a note-taker. Action items captured with owner and due date. Shared in Slack after the meeting.</w:t>
      </w:r>
    </w:p>
    <w:p w14:paraId="52B84EF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Async-first norms</w:t>
      </w:r>
      <w:r>
        <w:rPr>
          <w:rFonts w:ascii="Arial" w:hAnsi="Arial" w:eastAsia="Arial" w:cs="Arial"/>
          <w:sz w:val="22"/>
          <w:szCs w:val="22"/>
        </w:rPr>
        <w:t xml:space="preserve"> — Document the expectation: not every conversation needs a meeting. Loom for explanations, Slack for quick questions, Linear for tasks, Notion for decisions.</w:t>
      </w:r>
    </w:p>
    <w:p w14:paraId="5B624A5F">
      <w:pPr>
        <w:pBdr>
          <w:bottom w:val="single" w:color="AAAAAA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444444"/>
          <w:sz w:val="20"/>
          <w:szCs w:val="20"/>
        </w:rPr>
        <w:t>@50 EMPLOYEES</w:t>
      </w:r>
    </w:p>
    <w:p w14:paraId="7CB40DA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Okta or JumpCloud for identity</w:t>
      </w:r>
      <w:r>
        <w:rPr>
          <w:rFonts w:ascii="Arial" w:hAnsi="Arial" w:eastAsia="Arial" w:cs="Arial"/>
          <w:sz w:val="22"/>
          <w:szCs w:val="22"/>
        </w:rPr>
        <w:t xml:space="preserve"> — Dedicated identity provider. SCIM provisioning: new hire created in Rippling automatically creates accounts across all connected tools.</w:t>
      </w:r>
    </w:p>
    <w:p w14:paraId="387A486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Automated onboarding and offboarding</w:t>
      </w:r>
      <w:r>
        <w:rPr>
          <w:rFonts w:ascii="Arial" w:hAnsi="Arial" w:eastAsia="Arial" w:cs="Arial"/>
          <w:sz w:val="22"/>
          <w:szCs w:val="22"/>
        </w:rPr>
        <w:t xml:space="preserve"> — Rippling IT or Okta workflows. New hire gets all tools provisioned on their start date. Departed employee has all access revoked automatically within minutes.</w:t>
      </w:r>
    </w:p>
    <w:p w14:paraId="3FBAE8C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n8n for advanced automation</w:t>
      </w:r>
      <w:r>
        <w:rPr>
          <w:rFonts w:ascii="Arial" w:hAnsi="Arial" w:eastAsia="Arial" w:cs="Arial"/>
          <w:sz w:val="22"/>
          <w:szCs w:val="22"/>
        </w:rPr>
        <w:t xml:space="preserve"> — Replace Zapier or Make with n8n for complex internal processes. Self-host for cost efficiency and data control.</w:t>
      </w:r>
    </w:p>
    <w:p w14:paraId="13E321F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IT asset management</w:t>
      </w:r>
      <w:r>
        <w:rPr>
          <w:rFonts w:ascii="Arial" w:hAnsi="Arial" w:eastAsia="Arial" w:cs="Arial"/>
          <w:sz w:val="22"/>
          <w:szCs w:val="22"/>
        </w:rPr>
        <w:t xml:space="preserve"> — Device inventory, software licence tracking, and annual audit. Required for SOC 2 and for managing costs as the team scales.</w:t>
      </w:r>
    </w:p>
    <w:p w14:paraId="27250C1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Communication governance</w:t>
      </w:r>
      <w:r>
        <w:rPr>
          <w:rFonts w:ascii="Arial" w:hAnsi="Arial" w:eastAsia="Arial" w:cs="Arial"/>
          <w:sz w:val="22"/>
          <w:szCs w:val="22"/>
        </w:rPr>
        <w:t xml:space="preserve"> — Channel naming standards, archiving policy, and meeting hygiene rules written and enforced. Audit communication overhead as the team grows.</w:t>
      </w:r>
    </w:p>
    <w:p w14:paraId="7203766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All-hands cadence</w:t>
      </w:r>
      <w:r>
        <w:rPr>
          <w:rFonts w:ascii="Arial" w:hAnsi="Arial" w:eastAsia="Arial" w:cs="Arial"/>
          <w:sz w:val="22"/>
          <w:szCs w:val="22"/>
        </w:rPr>
        <w:t xml:space="preserve"> — Monthly company all-hands with slides, metrics review, team spotlights, and open Q&amp;A. Recorded and made available for asynchronous viewing.</w:t>
      </w:r>
    </w:p>
    <w:p w14:paraId="1821AC2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Quarterly access review</w:t>
      </w:r>
      <w:r>
        <w:rPr>
          <w:rFonts w:ascii="Arial" w:hAnsi="Arial" w:eastAsia="Arial" w:cs="Arial"/>
          <w:sz w:val="22"/>
          <w:szCs w:val="22"/>
        </w:rPr>
        <w:t xml:space="preserve"> — Formal audit of who has access to what across all tools and cloud infrastructure. Documented, actioned, and retained as SOC 2 evidence.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-"/>
      <w:lvlJc w:val="left"/>
      <w:pPr>
        <w:spacing w:after="40"/>
        <w:ind w:left="640" w:hanging="28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spacing w:after="60"/>
        <w:ind w:left="6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C4E01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16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/>
      <w:outlineLvl w:val="1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555555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4612</Words>
  <Characters>26328</Characters>
  <TotalTime>0</TotalTime>
  <ScaleCrop>false</ScaleCrop>
  <LinksUpToDate>false</LinksUpToDate>
  <CharactersWithSpaces>30695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2026-06-05T10:23:00Z</dcterms:created>
  <dc:creator>Un-named</dc:creator>
  <cp:lastModifiedBy>serious joker</cp:lastModifiedBy>
  <dcterms:modified xsi:type="dcterms:W3CDTF">2026-06-05T10:50:01Z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eyJoZGlkIjoiNWM5Mjk5ZjI4NzJhMDFmYjUwZDFmZGU1ZDFiYzNkYmUiLCJ1c2VySWQiOiIxOTI0MTQ4NDI1NDE0In0=</vt:lpwstr>
  </property>
  <property fmtid="{D5CDD505-2E9C-101B-9397-08002B2CF9AE}" pid="3" name="KSOProductBuildVer">
    <vt:lpwstr>1033-12.1.0.26372</vt:lpwstr>
  </property>
  <property fmtid="{D5CDD505-2E9C-101B-9397-08002B2CF9AE}" pid="4" name="ICV">
    <vt:lpwstr>61F50AECDD504D71BB5A515DC0D096F5_12</vt:lpwstr>
  </property>
</Properties>
</file>