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a3a5c"/>
          <w:sz w:val="56"/>
          <w:szCs w:val="56"/>
        </w:rPr>
        <w:t xml:space="preserve">StudyLock LMS</w:t>
      </w:r>
    </w:p>
    <w:p>
      <w:pPr>
        <w:spacing w:after="120"/>
        <w:jc w:val="center"/>
      </w:pPr>
      <w:r>
        <w:rPr>
          <w:rFonts w:ascii="Arial" w:cs="Arial" w:eastAsia="Arial" w:hAnsi="Arial"/>
          <w:b/>
          <w:bCs/>
          <w:color w:val="2E75B6"/>
          <w:sz w:val="36"/>
          <w:szCs w:val="36"/>
        </w:rPr>
        <w:t xml:space="preserve">Design Patterns Document</w:t>
      </w:r>
    </w:p>
    <w:p>
      <w:pPr>
        <w:spacing w:after="120"/>
        <w:jc w:val="center"/>
      </w:pPr>
      <w:r>
        <w:rPr>
          <w:rFonts w:ascii="Arial" w:cs="Arial" w:eastAsia="Arial" w:hAnsi="Arial"/>
          <w:color w:val="555555"/>
          <w:sz w:val="22"/>
          <w:szCs w:val="22"/>
        </w:rPr>
        <w:t xml:space="preserve">SCD Course Project | Riphah International University</w:t>
      </w:r>
    </w:p>
    <w:p>
      <w:pPr>
        <w:spacing w:after="480"/>
        <w:jc w:val="center"/>
      </w:pPr>
      <w:r>
        <w:rPr>
          <w:rFonts w:ascii="Arial" w:cs="Arial" w:eastAsia="Arial" w:hAnsi="Arial"/>
          <w:color w:val="777777"/>
          <w:sz w:val="22"/>
          <w:szCs w:val="22"/>
        </w:rPr>
        <w:t xml:space="preserve">Version 4.2 | June 2026</w:t>
      </w:r>
    </w:p>
    <w:p>
      <w:pPr>
        <w:spacing w:after="120"/>
      </w:pPr>
      <w:r>
        <w:t xml:space="preserve"/>
      </w:r>
    </w:p>
    <w:p>
      <w:pPr>
        <w:pStyle w:val="Heading1"/>
        <w:spacing w:after="180" w:before="360"/>
      </w:pPr>
      <w:r>
        <w:rPr>
          <w:rFonts w:ascii="Arial" w:cs="Arial" w:eastAsia="Arial" w:hAnsi="Arial"/>
          <w:b/>
          <w:bCs/>
          <w:color w:val="1a3a5c"/>
          <w:sz w:val="32"/>
          <w:szCs w:val="32"/>
        </w:rPr>
        <w:t xml:space="preserve">1. Introduction</w:t>
      </w:r>
    </w:p>
    <w:p>
      <w:pPr>
        <w:spacing w:after="120"/>
      </w:pPr>
      <w:r>
        <w:rPr>
          <w:rFonts w:ascii="Arial" w:cs="Arial" w:eastAsia="Arial" w:hAnsi="Arial"/>
          <w:sz w:val="22"/>
          <w:szCs w:val="22"/>
        </w:rPr>
        <w:t xml:space="preserve">StudyLock is a full-stack Learning Management System (LMS) built with Java 17, Spring Boot 3.2, Spring Security, Spring Data JPA, Thymeleaf, and MySQL. It supports three distinct user roles: Student, Lecturer, and Admin.</w:t>
      </w:r>
    </w:p>
    <w:p>
      <w:pPr>
        <w:spacing w:after="120"/>
      </w:pPr>
      <w:r>
        <w:rPr>
          <w:rFonts w:ascii="Arial" w:cs="Arial" w:eastAsia="Arial" w:hAnsi="Arial"/>
          <w:sz w:val="22"/>
          <w:szCs w:val="22"/>
        </w:rPr>
        <w:t xml:space="preserve">This document identifies and explains the software design patterns that were deliberately applied during development. For each pattern the document states: the GoF (Gang of Four) category, the exact class and file where it appears in the codebase, and the design rationale explaining why that pattern was chosen over alternatives.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Singleton + Service Locator</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Creational</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SpringContext.java</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Single app-context access point</w:t>
            </w:r>
          </w:p>
        </w:tc>
      </w:tr>
      <w:tr>
        <w:trPr>
          <w:tblHeader w:val="false"/>
        </w:trPr>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Strategy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Behavioural</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CustomUserDetailsService.java</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Pluggable authentication algorithm</w:t>
            </w:r>
          </w:p>
        </w:tc>
      </w:tr>
      <w:tr>
        <w:trPr>
          <w:tblHeader w:val="false"/>
        </w:trPr>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Builder</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Creational</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16 model classes (Lombok @Builder)</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Fluent, immutable object construction</w:t>
            </w:r>
          </w:p>
        </w:tc>
      </w:tr>
      <w:tr>
        <w:trPr>
          <w:tblHeader w:val="false"/>
        </w:trPr>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Dependency Injection (IoC)</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Structural</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15 service + controller classes</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Decouple components, enable testing</w:t>
            </w:r>
          </w:p>
        </w:tc>
      </w:tr>
      <w:tr>
        <w:trPr>
          <w:tblHeader w:val="false"/>
        </w:trPr>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Repository</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Architectural</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16 JpaRepository interfaces</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Encapsulate data-access logic</w:t>
            </w:r>
          </w:p>
        </w:tc>
      </w:tr>
      <w:tr>
        <w:trPr>
          <w:tblHeader w:val="false"/>
        </w:trPr>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DTO</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Architectural</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6 DTO classes</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Decouple API/form layer from entities</w:t>
            </w:r>
          </w:p>
        </w:tc>
      </w:tr>
      <w:tr>
        <w:trPr>
          <w:tblHeader w:val="false"/>
        </w:trPr>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State Enum</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Behavioural</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6 enum types</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Drive entity lifecycle transitions</w:t>
            </w:r>
          </w:p>
        </w:tc>
      </w:tr>
      <w:tr>
        <w:trPr>
          <w:tblHeader w:val="false"/>
        </w:trPr>
        <w:tc>
          <w:tcPr>
            <w:tcW w:type="dxa" w:w="234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MVC (Layered)</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Architectural</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Entire codebase</w:t>
            </w:r>
          </w:p>
        </w:tc>
        <w:tc>
          <w:tcPr>
            <w:tcW w:type="dxa" w:w="234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Separate concerns across layers</w:t>
            </w:r>
          </w:p>
        </w:tc>
      </w:tr>
    </w:tbl>
    <w:p>
      <w:pPr>
        <w:spacing w:after="12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2. Creational Patterns</w:t>
      </w:r>
    </w:p>
    <w:p>
      <w:pPr>
        <w:pStyle w:val="Heading2"/>
        <w:spacing w:after="140" w:before="280"/>
      </w:pPr>
      <w:r>
        <w:rPr>
          <w:rFonts w:ascii="Arial" w:cs="Arial" w:eastAsia="Arial" w:hAnsi="Arial"/>
          <w:b/>
          <w:bCs/>
          <w:color w:val="2E75B6"/>
          <w:sz w:val="26"/>
          <w:szCs w:val="26"/>
        </w:rPr>
        <w:t xml:space="preserve">2.1 Singleton + Service Locator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GoF Category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Creational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Pattern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Singleton (Spring-managed) combined with Service Locator</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src/main/java/com/studylock/util/SpringContext.java</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Class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SpringContext (implements ApplicationContextAware)</w:t>
            </w:r>
          </w:p>
        </w:tc>
      </w:tr>
    </w:tbl>
    <w:p>
      <w:pPr>
        <w:spacing w:after="120"/>
      </w:pPr>
      <w:r>
        <w:t xml:space="preserve"/>
      </w:r>
    </w:p>
    <w:p>
      <w:pPr>
        <w:spacing w:after="12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SpringContext holds a static reference to Spring's ApplicationContext. The static getBean&lt;T&gt;() method lets any class — even non-Spring components — retrieve any Spring-managed bean by type without constructor injection. Spring itself guarantees there is exactly one ApplicationContext per JVM (Singleton), so SpringContext inherits that guarantee.</w:t>
      </w:r>
    </w:p>
    <w:p>
      <w:pPr>
        <w:spacing w:after="120"/>
      </w:pPr>
      <w:r>
        <w:rPr>
          <w:rFonts w:ascii="Arial" w:cs="Arial" w:eastAsia="Arial" w:hAnsi="Arial"/>
          <w:b/>
          <w:bCs/>
          <w:sz w:val="22"/>
          <w:szCs w:val="22"/>
        </w:rPr>
        <w:t xml:space="preserve">Code evidence:</w:t>
      </w:r>
    </w:p>
    <w:p>
      <w:pPr>
        <w:spacing w:after="120"/>
      </w:pPr>
      <w:r>
        <w:rPr>
          <w:rFonts w:ascii="Courier New" w:cs="Courier New" w:eastAsia="Courier New" w:hAnsi="Courier New"/>
          <w:color w:val="333333"/>
          <w:sz w:val="18"/>
          <w:szCs w:val="18"/>
        </w:rPr>
        <w:t xml:space="preserve">@Component
public class SpringContext implements ApplicationContextAware {
    private static ApplicationContext ctx;
    @Override
    public void setApplicationContext(ApplicationContext ctx) { SpringContext.ctx = ctx; }
    public static &lt;T&gt; T getBean(Class&lt;T&gt; c) { return ctx.getBean(c); }
}</w:t>
      </w:r>
    </w:p>
    <w:p>
      <w:pPr>
        <w:spacing w:after="120"/>
      </w:pPr>
      <w:r>
        <w:rPr>
          <w:rFonts w:ascii="Arial" w:cs="Arial" w:eastAsia="Arial" w:hAnsi="Arial"/>
          <w:b/>
          <w:bCs/>
          <w:sz w:val="22"/>
          <w:szCs w:val="22"/>
        </w:rPr>
        <w:t xml:space="preserve">Why this pattern:</w:t>
      </w:r>
    </w:p>
    <w:p>
      <w:pPr>
        <w:spacing w:after="120"/>
      </w:pPr>
      <w:r>
        <w:rPr>
          <w:rFonts w:ascii="Arial" w:cs="Arial" w:eastAsia="Arial" w:hAnsi="Arial"/>
          <w:sz w:val="22"/>
          <w:szCs w:val="22"/>
        </w:rPr>
        <w:t xml:space="preserve">Some utility classes (e.g., event listeners or static helpers) cannot receive dependencies via constructor injection because they are not managed by Spring. SpringContext provides a clean, tested escape hatch that is still type-safe and does not require reflection hacks or manual singleton implementation.</w:t>
      </w:r>
    </w:p>
    <w:p>
      <w:pPr>
        <w:spacing w:after="120"/>
      </w:pPr>
      <w:r>
        <w:t xml:space="preserve"/>
      </w:r>
    </w:p>
    <w:p>
      <w:pPr>
        <w:pStyle w:val="Heading2"/>
        <w:spacing w:after="140" w:before="280"/>
      </w:pPr>
      <w:r>
        <w:rPr>
          <w:rFonts w:ascii="Arial" w:cs="Arial" w:eastAsia="Arial" w:hAnsi="Arial"/>
          <w:b/>
          <w:bCs/>
          <w:color w:val="2E75B6"/>
          <w:sz w:val="26"/>
          <w:szCs w:val="26"/>
        </w:rPr>
        <w:t xml:space="preserve">2.2 Builder Pattern (via Lombok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GoF Category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Creational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Pattern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Builder</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All 16 model classes in com.studylock.model.*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Annotation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@Builder (Project Lombok auto-generates the fluent builder)</w:t>
            </w:r>
          </w:p>
        </w:tc>
      </w:tr>
    </w:tbl>
    <w:p>
      <w:pPr>
        <w:spacing w:after="120"/>
      </w:pPr>
      <w:r>
        <w:t xml:space="preserve"/>
      </w:r>
    </w:p>
    <w:p>
      <w:pPr>
        <w:spacing w:after="12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Every JPA entity class is annotated with @Builder, causing Lombok to auto-generate a static inner Builder class with a fluent API. Instead of constructors with many parameters (which are fragile and unreadable), objects are assembled property-by-property, only setting what is needed.</w:t>
      </w:r>
    </w:p>
    <w:p>
      <w:pPr>
        <w:spacing w:after="120"/>
      </w:pPr>
      <w:r>
        <w:rPr>
          <w:rFonts w:ascii="Arial" w:cs="Arial" w:eastAsia="Arial" w:hAnsi="Arial"/>
          <w:b/>
          <w:bCs/>
          <w:sz w:val="22"/>
          <w:szCs w:val="22"/>
        </w:rPr>
        <w:t xml:space="preserve">Code evidence (EnrollmentRequest example):</w:t>
      </w:r>
    </w:p>
    <w:p>
      <w:pPr>
        <w:spacing w:after="120"/>
      </w:pPr>
      <w:r>
        <w:rPr>
          <w:rFonts w:ascii="Courier New" w:cs="Courier New" w:eastAsia="Courier New" w:hAnsi="Courier New"/>
          <w:color w:val="333333"/>
          <w:sz w:val="18"/>
          <w:szCs w:val="18"/>
        </w:rPr>
        <w:t xml:space="preserve">EnrollmentRequest req = EnrollmentRequest.builder()
    .student(student)
    .course(course)
    .status(EnrollmentRequestStatus.PENDING)
    .reason(EnrollmentRequestReason.CREDIT_LIMIT_EXCEEDED)
    .currentCreditHours(16)
    .requestedCourseCreditHours(4)
    .build();</w:t>
      </w:r>
    </w:p>
    <w:p>
      <w:pPr>
        <w:spacing w:after="120"/>
      </w:pPr>
      <w:r>
        <w:rPr>
          <w:rFonts w:ascii="Arial" w:cs="Arial" w:eastAsia="Arial" w:hAnsi="Arial"/>
          <w:b/>
          <w:bCs/>
          <w:sz w:val="22"/>
          <w:szCs w:val="22"/>
        </w:rPr>
        <w:t xml:space="preserve">Why this pattern:</w:t>
      </w:r>
    </w:p>
    <w:p>
      <w:pPr>
        <w:spacing w:after="120"/>
      </w:pPr>
      <w:r>
        <w:rPr>
          <w:rFonts w:ascii="Arial" w:cs="Arial" w:eastAsia="Arial" w:hAnsi="Arial"/>
          <w:sz w:val="22"/>
          <w:szCs w:val="22"/>
        </w:rPr>
        <w:t xml:space="preserve">Model objects in this project have many optional fields (e.g., EnrollmentRequest has 9 fields but a FUTURE_SEMESTER request does not need currentCreditHours). The Builder pattern makes optional fields explicit and keeps service-layer code readable. It also pairs naturally with @Builder.Default, which sets safe default values for fields the caller omits.</w:t>
      </w:r>
    </w:p>
    <w:p>
      <w:pPr>
        <w:spacing w:after="12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3. Behavioural Patterns</w:t>
      </w:r>
    </w:p>
    <w:p>
      <w:pPr>
        <w:pStyle w:val="Heading2"/>
        <w:spacing w:after="140" w:before="280"/>
      </w:pPr>
      <w:r>
        <w:rPr>
          <w:rFonts w:ascii="Arial" w:cs="Arial" w:eastAsia="Arial" w:hAnsi="Arial"/>
          <w:b/>
          <w:bCs/>
          <w:color w:val="2E75B6"/>
          <w:sz w:val="26"/>
          <w:szCs w:val="26"/>
        </w:rPr>
        <w:t xml:space="preserve">3.1 Strategy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GoF Category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Behavioural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Pattern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Strategy</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Interface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org.springframework.security.core.userdetails.UserDetailsService</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Concrete Strategy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src/main/java/com/studylock/security/CustomUserDetailsService.java</w:t>
            </w:r>
          </w:p>
        </w:tc>
      </w:tr>
    </w:tbl>
    <w:p>
      <w:pPr>
        <w:spacing w:after="120"/>
      </w:pPr>
      <w:r>
        <w:t xml:space="preserve"/>
      </w:r>
    </w:p>
    <w:p>
      <w:pPr>
        <w:spacing w:after="12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Spring Security delegates authentication to whichever UserDetailsService bean is registered. CustomUserDetailsService is our concrete strategy: it loads a User from the database by email, maps their role to a Spring GrantedAuthority, and returns a UserDetails object. If the authentication algorithm ever needs to change (e.g., switch from database lookup to LDAP), only this one class needs to be replaced; Spring Security's filters and session management remain untouched.</w:t>
      </w:r>
    </w:p>
    <w:p>
      <w:pPr>
        <w:spacing w:after="120"/>
      </w:pPr>
      <w:r>
        <w:rPr>
          <w:rFonts w:ascii="Arial" w:cs="Arial" w:eastAsia="Arial" w:hAnsi="Arial"/>
          <w:b/>
          <w:bCs/>
          <w:sz w:val="22"/>
          <w:szCs w:val="22"/>
        </w:rPr>
        <w:t xml:space="preserve">Why this pattern:</w:t>
      </w:r>
    </w:p>
    <w:p>
      <w:pPr>
        <w:spacing w:after="120"/>
      </w:pPr>
      <w:r>
        <w:rPr>
          <w:rFonts w:ascii="Arial" w:cs="Arial" w:eastAsia="Arial" w:hAnsi="Arial"/>
          <w:sz w:val="22"/>
          <w:szCs w:val="22"/>
        </w:rPr>
        <w:t xml:space="preserve">The Strategy pattern decouples the "what to authenticate against" decision from the "how to enforce security" machinery. It is the canonical way to integrate custom user stores into Spring Security, and gives us a single, testable class responsible for user loading.</w:t>
      </w:r>
    </w:p>
    <w:p>
      <w:pPr>
        <w:spacing w:after="120"/>
      </w:pPr>
      <w:r>
        <w:t xml:space="preserve"/>
      </w:r>
    </w:p>
    <w:p>
      <w:pPr>
        <w:pStyle w:val="Heading2"/>
        <w:spacing w:after="140" w:before="280"/>
      </w:pPr>
      <w:r>
        <w:rPr>
          <w:rFonts w:ascii="Arial" w:cs="Arial" w:eastAsia="Arial" w:hAnsi="Arial"/>
          <w:b/>
          <w:bCs/>
          <w:color w:val="2E75B6"/>
          <w:sz w:val="26"/>
          <w:szCs w:val="26"/>
        </w:rPr>
        <w:t xml:space="preserve">3.2 State Enum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GoF Category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Behavioural (simplified State pattern)</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Pattern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State Enum — domain objects whose legal transitions are enforced at the service layer</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SubmissionStatus.java, SessionStatus.java, EnrollmentRequestStatus.java, EnrollmentRequestReason.java, AttendanceStatus.java, UserRole.java</w:t>
            </w:r>
          </w:p>
        </w:tc>
      </w:tr>
    </w:tbl>
    <w:p>
      <w:pPr>
        <w:spacing w:after="120"/>
      </w:pPr>
      <w:r>
        <w:t xml:space="preserve"/>
      </w:r>
    </w:p>
    <w:p>
      <w:pPr>
        <w:spacing w:after="12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Six enumerations capture the lifecycle states of core domain objects. Service-layer logic guards illegal transitions (e.g., a Submission cannot be graded before being submitted; an EnrollmentRequest cannot be approved if it is already APPROVED or REJECTED).</w:t>
      </w:r>
    </w:p>
    <w:p>
      <w:pPr>
        <w:spacing w:after="120"/>
      </w:pPr>
      <w:r>
        <w:rPr>
          <w:rFonts w:ascii="Arial" w:cs="Arial" w:eastAsia="Arial" w:hAnsi="Arial"/>
          <w:b/>
          <w:bCs/>
          <w:sz w:val="22"/>
          <w:szCs w:val="22"/>
        </w:rPr>
        <w:t xml:space="preserve">Why this pattern:</w:t>
      </w:r>
    </w:p>
    <w:p>
      <w:pPr>
        <w:spacing w:after="120"/>
      </w:pPr>
      <w:r>
        <w:rPr>
          <w:rFonts w:ascii="Arial" w:cs="Arial" w:eastAsia="Arial" w:hAnsi="Arial"/>
          <w:sz w:val="22"/>
          <w:szCs w:val="22"/>
        </w:rPr>
        <w:t xml:space="preserve">Using an enum type instead of a raw String makes invalid states impossible to represent in code, turns the compiler into a validator, and makes switch/if-else coverage complete and exhaustive. It is a pragmatic, lightweight alternative to the full GoF State pattern (with polymorphic state classes) — appropriate for this project's scale.</w:t>
      </w:r>
    </w:p>
    <w:p>
      <w:pPr>
        <w:spacing w:after="12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4. Structural Patterns</w:t>
      </w:r>
    </w:p>
    <w:p>
      <w:pPr>
        <w:pStyle w:val="Heading2"/>
        <w:spacing w:after="140" w:before="280"/>
      </w:pPr>
      <w:r>
        <w:rPr>
          <w:rFonts w:ascii="Arial" w:cs="Arial" w:eastAsia="Arial" w:hAnsi="Arial"/>
          <w:b/>
          <w:bCs/>
          <w:color w:val="2E75B6"/>
          <w:sz w:val="26"/>
          <w:szCs w:val="26"/>
        </w:rPr>
        <w:t xml:space="preserve">4.1 Dependency Injection (Inversion of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GoF Category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Structural / Creational (IoC)</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Pattern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Dependency Injection via constructor injection</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Annotation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@RequiredArgsConstructor (Lombok generates constructor; Spring injects)</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Scope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15 service and controller classes</w:t>
            </w:r>
          </w:p>
        </w:tc>
      </w:tr>
    </w:tbl>
    <w:p>
      <w:pPr>
        <w:spacing w:after="120"/>
      </w:pPr>
      <w:r>
        <w:t xml:space="preserve"/>
      </w:r>
    </w:p>
    <w:p>
      <w:pPr>
        <w:spacing w:after="120"/>
      </w:pPr>
      <w:r>
        <w:rPr>
          <w:rFonts w:ascii="Arial" w:cs="Arial" w:eastAsia="Arial" w:hAnsi="Arial"/>
          <w:b/>
          <w:bCs/>
          <w:sz w:val="22"/>
          <w:szCs w:val="22"/>
        </w:rPr>
        <w:t xml:space="preserve">Code evidence (EnrollmentService):</w:t>
      </w:r>
    </w:p>
    <w:p>
      <w:pPr>
        <w:spacing w:after="120"/>
      </w:pPr>
      <w:r>
        <w:rPr>
          <w:rFonts w:ascii="Courier New" w:cs="Courier New" w:eastAsia="Courier New" w:hAnsi="Courier New"/>
          <w:color w:val="333333"/>
          <w:sz w:val="18"/>
          <w:szCs w:val="18"/>
        </w:rPr>
        <w:t xml:space="preserve">@Service
@RequiredArgsConstructor
public class EnrollmentService {
    private final EnrollmentRepository enrollmentRepository;
    private final CourseRepository courseRepository;
    private final EnrollmentRequestRepository enrollmentRequestRepository;
    private final NotificationService notificationService;
    private final UserRepository userRepository;
}</w:t>
      </w:r>
    </w:p>
    <w:p>
      <w:pPr>
        <w:spacing w:after="120"/>
      </w:pPr>
      <w:r>
        <w:rPr>
          <w:rFonts w:ascii="Arial" w:cs="Arial" w:eastAsia="Arial" w:hAnsi="Arial"/>
          <w:b/>
          <w:bCs/>
          <w:sz w:val="22"/>
          <w:szCs w:val="22"/>
        </w:rPr>
        <w:t xml:space="preserve">Why this pattern:</w:t>
      </w:r>
    </w:p>
    <w:p>
      <w:pPr>
        <w:spacing w:after="120"/>
      </w:pPr>
      <w:r>
        <w:rPr>
          <w:rFonts w:ascii="Arial" w:cs="Arial" w:eastAsia="Arial" w:hAnsi="Arial"/>
          <w:sz w:val="22"/>
          <w:szCs w:val="22"/>
        </w:rPr>
        <w:t xml:space="preserve">Constructor injection (rather than field injection with @Autowired) keeps dependencies explicit, prevents partially-constructed objects, and makes unit testing straightforward: a test can pass mock implementations without needing a Spring context. @RequiredArgsConstructor eliminates boilerplate while keeping the pattern's benefits.</w:t>
      </w:r>
    </w:p>
    <w:p>
      <w:pPr>
        <w:spacing w:after="120"/>
      </w:pPr>
      <w:r>
        <w:t xml:space="preserve"/>
      </w:r>
    </w:p>
    <w:p>
      <w:pPr>
        <w:pStyle w:val="Heading2"/>
        <w:spacing w:after="140" w:before="280"/>
      </w:pPr>
      <w:r>
        <w:rPr>
          <w:rFonts w:ascii="Arial" w:cs="Arial" w:eastAsia="Arial" w:hAnsi="Arial"/>
          <w:b/>
          <w:bCs/>
          <w:color w:val="2E75B6"/>
          <w:sz w:val="26"/>
          <w:szCs w:val="26"/>
        </w:rPr>
        <w:t xml:space="preserve">4.2 Repository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GoF Category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Architectural / Data Access</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Pattern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Repository</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Base interface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org.springframework.data.jpa.repository.JpaRepository</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Implementations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16 interfaces in com.studylock.repository.*</w:t>
            </w:r>
          </w:p>
        </w:tc>
      </w:tr>
    </w:tbl>
    <w:p>
      <w:pPr>
        <w:spacing w:after="120"/>
      </w:pPr>
      <w:r>
        <w:t xml:space="preserve"/>
      </w:r>
    </w:p>
    <w:p>
      <w:pPr>
        <w:spacing w:after="12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Every JPA entity has a corresponding Repository interface that extends JpaRepository&lt;Entity, Long&gt;. All database operations (CRUD, custom queries) are declared here. Service classes interact only with the Repository interface, never with EntityManager or raw SQL directly.</w:t>
      </w:r>
    </w:p>
    <w:p>
      <w:pPr>
        <w:spacing w:after="120"/>
      </w:pPr>
      <w:r>
        <w:rPr>
          <w:rFonts w:ascii="Arial" w:cs="Arial" w:eastAsia="Arial" w:hAnsi="Arial"/>
          <w:b/>
          <w:bCs/>
          <w:sz w:val="22"/>
          <w:szCs w:val="22"/>
        </w:rPr>
        <w:t xml:space="preserve">Why this pattern:</w:t>
      </w:r>
    </w:p>
    <w:p>
      <w:pPr>
        <w:spacing w:after="120"/>
      </w:pPr>
      <w:r>
        <w:rPr>
          <w:rFonts w:ascii="Arial" w:cs="Arial" w:eastAsia="Arial" w:hAnsi="Arial"/>
          <w:sz w:val="22"/>
          <w:szCs w:val="22"/>
        </w:rPr>
        <w:t xml:space="preserve">The Repository pattern encapsulates all data-access logic behind a clean interface. Services remain agnostic of the persistence technology — switching from MySQL to PostgreSQL, or from JPA to JDBC, requires changes only in the repository layer. It also makes service-layer unit tests easy: the repository can be mocked with Mockito without touching a real database.</w:t>
      </w:r>
    </w:p>
    <w:p>
      <w:pPr>
        <w:spacing w:after="120"/>
      </w:pPr>
      <w:r>
        <w:t xml:space="preserve"/>
      </w:r>
    </w:p>
    <w:p>
      <w:pPr>
        <w:pStyle w:val="Heading2"/>
        <w:spacing w:after="140" w:before="280"/>
      </w:pPr>
      <w:r>
        <w:rPr>
          <w:rFonts w:ascii="Arial" w:cs="Arial" w:eastAsia="Arial" w:hAnsi="Arial"/>
          <w:b/>
          <w:bCs/>
          <w:color w:val="2E75B6"/>
          <w:sz w:val="26"/>
          <w:szCs w:val="26"/>
        </w:rPr>
        <w:t xml:space="preserve">4.3 DTO (Data Transfer Object)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GoF Category</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Architectural</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Pattern</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Data Transfer Object (DTO)</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Files</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GradeDto, LoginDto, QuizQuestionDto, RegisterDto, SessionStartDto, TutorMessageDto</w:t>
            </w:r>
          </w:p>
        </w:tc>
      </w:tr>
      <w:tr>
        <w:trPr>
          <w:tblHeader w:val="false"/>
        </w:trPr>
        <w:tc>
          <w:tcPr>
            <w:tcW w:type="dxa" w:w="468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Package</w:t>
            </w:r>
          </w:p>
        </w:tc>
        <w:tc>
          <w:tcPr>
            <w:tcW w:type="dxa" w:w="468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com.studylock.dto.*</w:t>
            </w:r>
          </w:p>
        </w:tc>
      </w:tr>
    </w:tbl>
    <w:p>
      <w:pPr>
        <w:spacing w:after="120"/>
      </w:pPr>
      <w:r>
        <w:t xml:space="preserve"/>
      </w:r>
    </w:p>
    <w:p>
      <w:pPr>
        <w:spacing w:after="120"/>
      </w:pPr>
      <w:r>
        <w:rPr>
          <w:rFonts w:ascii="Arial" w:cs="Arial" w:eastAsia="Arial" w:hAnsi="Arial"/>
          <w:b/>
          <w:bCs/>
          <w:sz w:val="22"/>
          <w:szCs w:val="22"/>
        </w:rPr>
        <w:t xml:space="preserve">Description:</w:t>
      </w:r>
    </w:p>
    <w:p>
      <w:pPr>
        <w:spacing w:after="120"/>
      </w:pPr>
      <w:r>
        <w:rPr>
          <w:rFonts w:ascii="Arial" w:cs="Arial" w:eastAsia="Arial" w:hAnsi="Arial"/>
          <w:sz w:val="22"/>
          <w:szCs w:val="22"/>
        </w:rPr>
        <w:t xml:space="preserve">Six DTO classes carry data between the presentation layer (HTML forms / JSON) and the service layer. For example, RegisterDto captures the registration form fields, and GradeDto carries the grade and feedback the lecturer submits without exposing the full Submission entity.</w:t>
      </w:r>
    </w:p>
    <w:p>
      <w:pPr>
        <w:spacing w:after="120"/>
      </w:pPr>
      <w:r>
        <w:rPr>
          <w:rFonts w:ascii="Arial" w:cs="Arial" w:eastAsia="Arial" w:hAnsi="Arial"/>
          <w:b/>
          <w:bCs/>
          <w:sz w:val="22"/>
          <w:szCs w:val="22"/>
        </w:rPr>
        <w:t xml:space="preserve">Why this pattern:</w:t>
      </w:r>
    </w:p>
    <w:p>
      <w:pPr>
        <w:spacing w:after="120"/>
      </w:pPr>
      <w:r>
        <w:rPr>
          <w:rFonts w:ascii="Arial" w:cs="Arial" w:eastAsia="Arial" w:hAnsi="Arial"/>
          <w:sz w:val="22"/>
          <w:szCs w:val="22"/>
        </w:rPr>
        <w:t xml:space="preserve">DTOs prevent accidental exposure of sensitive entity fields (e.g., password hashes) to the view layer. They also let the form/API contract evolve independently of the database schema — adding a field to the UI form does not automatically change the entity.</w:t>
      </w:r>
    </w:p>
    <w:p>
      <w:pPr>
        <w:spacing w:after="120"/>
      </w:pPr>
      <w:r>
        <w:t xml:space="preserve"/>
      </w:r>
    </w:p>
    <w:p>
      <w:pPr>
        <w:spacing w:after="0"/>
      </w:pPr>
      <w:r>
        <w:br/>
      </w:r>
    </w:p>
    <w:p>
      <w:pPr>
        <w:pStyle w:val="Heading1"/>
        <w:spacing w:after="180" w:before="360"/>
      </w:pPr>
      <w:r>
        <w:rPr>
          <w:rFonts w:ascii="Arial" w:cs="Arial" w:eastAsia="Arial" w:hAnsi="Arial"/>
          <w:b/>
          <w:bCs/>
          <w:color w:val="1a3a5c"/>
          <w:sz w:val="32"/>
          <w:szCs w:val="32"/>
        </w:rPr>
        <w:t xml:space="preserve">5. Architectural Pattern</w:t>
      </w:r>
    </w:p>
    <w:p>
      <w:pPr>
        <w:pStyle w:val="Heading2"/>
        <w:spacing w:after="140" w:before="280"/>
      </w:pPr>
      <w:r>
        <w:rPr>
          <w:rFonts w:ascii="Arial" w:cs="Arial" w:eastAsia="Arial" w:hAnsi="Arial"/>
          <w:b/>
          <w:bCs/>
          <w:color w:val="2E75B6"/>
          <w:sz w:val="26"/>
          <w:szCs w:val="26"/>
        </w:rPr>
        <w:t xml:space="preserve">5.1 MVC (Model-View-Controller) / Layered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Classes/Packages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rPr>
          <w:tblHeader w:val="false"/>
        </w:trPr>
        <w:tc>
          <w:tcPr>
            <w:tcW w:type="dxa" w:w="312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Model</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com.studylock.model.* (16 entities)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Domain state, JPA mapping, business rules</w:t>
            </w:r>
          </w:p>
        </w:tc>
      </w:tr>
      <w:tr>
        <w:trPr>
          <w:tblHeader w:val="false"/>
        </w:trPr>
        <w:tc>
          <w:tcPr>
            <w:tcW w:type="dxa" w:w="312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View</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src/main/resources/templates/** (40 Thymeleaf templates)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HTML rendering, form binding, UI logic</w:t>
            </w:r>
          </w:p>
        </w:tc>
      </w:tr>
      <w:tr>
        <w:trPr>
          <w:tblHeader w:val="false"/>
        </w:trPr>
        <w:tc>
          <w:tcPr>
            <w:tcW w:type="dxa" w:w="312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Controller</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com.studylock.controller.* (7 controllers)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HTTP routing, request handling, model population</w:t>
            </w:r>
          </w:p>
        </w:tc>
      </w:tr>
      <w:tr>
        <w:trPr>
          <w:tblHeader w:val="false"/>
        </w:trPr>
        <w:tc>
          <w:tcPr>
            <w:tcW w:type="dxa" w:w="312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Service</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com.studylock.service.* (10 services)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Business logic, transaction management, orchestration</w:t>
            </w:r>
          </w:p>
        </w:tc>
      </w:tr>
      <w:tr>
        <w:trPr>
          <w:tblHeader w:val="false"/>
        </w:trPr>
        <w:tc>
          <w:tcPr>
            <w:tcW w:type="dxa" w:w="312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Repository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com.studylock.repository.* (16 repos)</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Data access, JPQL queries</w:t>
            </w:r>
          </w:p>
        </w:tc>
      </w:tr>
      <w:tr>
        <w:trPr>
          <w:tblHeader w:val="false"/>
        </w:trPr>
        <w:tc>
          <w:tcPr>
            <w:tcW w:type="dxa" w:w="3120"/>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Security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com.studylock.security.*</w:t>
            </w:r>
          </w:p>
        </w:tc>
        <w:tc>
          <w:tcPr>
            <w:tcW w:type="dxa" w:w="312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Authentication, authorization, session management</w:t>
            </w:r>
          </w:p>
        </w:tc>
      </w:tr>
    </w:tbl>
    <w:p>
      <w:pPr>
        <w:spacing w:after="120"/>
      </w:pPr>
      <w:r>
        <w:t xml:space="preserve"/>
      </w:r>
    </w:p>
    <w:p>
      <w:pPr>
        <w:spacing w:after="120"/>
      </w:pPr>
      <w:r>
        <w:rPr>
          <w:rFonts w:ascii="Arial" w:cs="Arial" w:eastAsia="Arial" w:hAnsi="Arial"/>
          <w:b/>
          <w:bCs/>
          <w:sz w:val="22"/>
          <w:szCs w:val="22"/>
        </w:rPr>
        <w:t xml:space="preserve">Why this pattern:</w:t>
      </w:r>
    </w:p>
    <w:p>
      <w:pPr>
        <w:spacing w:after="120"/>
      </w:pPr>
      <w:r>
        <w:rPr>
          <w:rFonts w:ascii="Arial" w:cs="Arial" w:eastAsia="Arial" w:hAnsi="Arial"/>
          <w:sz w:val="22"/>
          <w:szCs w:val="22"/>
        </w:rPr>
        <w:t xml:space="preserve">Layered MVC architecture enforces a strict separation of concerns. Controllers never query the database directly; services never render HTML; repositories never contain business logic. This makes each layer independently testable, maintainable, and replaceable. It is the canonical architecture recommended by Spring Boot and aligns with the course's software construction principles.</w:t>
      </w:r>
    </w:p>
    <w:p>
      <w:pPr>
        <w:spacing w:after="120"/>
      </w:pPr>
      <w:r>
        <w:t xml:space="preserve"/>
      </w:r>
    </w:p>
    <w:p>
      <w:pPr>
        <w:pStyle w:val="Heading1"/>
        <w:spacing w:after="180" w:before="360"/>
      </w:pPr>
      <w:r>
        <w:rPr>
          <w:rFonts w:ascii="Arial" w:cs="Arial" w:eastAsia="Arial" w:hAnsi="Arial"/>
          <w:b/>
          <w:bCs/>
          <w:color w:val="1a3a5c"/>
          <w:sz w:val="32"/>
          <w:szCs w:val="32"/>
        </w:rPr>
        <w:t xml:space="preserve">6.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GoF Category</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rPr>
          <w:tblHeader w:val="false"/>
        </w:trPr>
        <w:tc>
          <w:tcPr>
            <w:tcW w:type="dxa" w:w="1872"/>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Singleton + Service Locator</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Creational</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SpringContext.java</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One shared ApplicationContext</w:t>
            </w:r>
          </w:p>
        </w:tc>
      </w:tr>
      <w:tr>
        <w:trPr>
          <w:tblHeader w:val="false"/>
        </w:trPr>
        <w:tc>
          <w:tcPr>
            <w:tcW w:type="dxa" w:w="1872"/>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Builder</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Creational</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16 model classes (@Builder)</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Readable, null-safe object creation</w:t>
            </w:r>
          </w:p>
        </w:tc>
      </w:tr>
      <w:tr>
        <w:trPr>
          <w:tblHeader w:val="false"/>
        </w:trPr>
        <w:tc>
          <w:tcPr>
            <w:tcW w:type="dxa" w:w="1872"/>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Strategy</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Behavioural</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CustomUserDetailsService.java</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Pluggable auth algorithm</w:t>
            </w:r>
          </w:p>
        </w:tc>
      </w:tr>
      <w:tr>
        <w:trPr>
          <w:tblHeader w:val="false"/>
        </w:trPr>
        <w:tc>
          <w:tcPr>
            <w:tcW w:type="dxa" w:w="1872"/>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State Enum</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Behavioural</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6 enum files</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Compile-time state validation</w:t>
            </w:r>
          </w:p>
        </w:tc>
      </w:tr>
      <w:tr>
        <w:trPr>
          <w:tblHeader w:val="false"/>
        </w:trPr>
        <w:tc>
          <w:tcPr>
            <w:tcW w:type="dxa" w:w="1872"/>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Dependency Injection</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Structural</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15 service/controller classes</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Loose coupling + testability</w:t>
            </w:r>
          </w:p>
        </w:tc>
      </w:tr>
      <w:tr>
        <w:trPr>
          <w:tblHeader w:val="false"/>
        </w:trPr>
        <w:tc>
          <w:tcPr>
            <w:tcW w:type="dxa" w:w="1872"/>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Repository</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Structural</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16 repository interfaces</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Encapsulated data access</w:t>
            </w:r>
          </w:p>
        </w:tc>
      </w:tr>
      <w:tr>
        <w:trPr>
          <w:tblHeader w:val="false"/>
        </w:trPr>
        <w:tc>
          <w:tcPr>
            <w:tcW w:type="dxa" w:w="1872"/>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7</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DTO</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Structural</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6 DTO classes</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Safe API/form ↔ entity mapping</w:t>
            </w:r>
          </w:p>
        </w:tc>
      </w:tr>
      <w:tr>
        <w:trPr>
          <w:tblHeader w:val="false"/>
        </w:trPr>
        <w:tc>
          <w:tcPr>
            <w:tcW w:type="dxa" w:w="1872"/>
            <w:tcBorders>
              <w:top w:val="single" w:color="CCCCCC" w:sz="1"/>
              <w:left w:val="single" w:color="CCCCCC" w:sz="1"/>
              <w:bottom w:val="single" w:color="CCCCCC" w:sz="1"/>
              <w:right w:val="single" w:color="CCCCCC" w:sz="1"/>
            </w:tcBorders>
            <w:shd w:fill="EEF4FF" w:val="clear"/>
            <w:tcMar>
              <w:top w:type="dxa" w:w="80"/>
              <w:left w:type="dxa" w:w="120"/>
              <w:bottom w:type="dxa" w:w="80"/>
              <w:right w:type="dxa" w:w="120"/>
            </w:tcMar>
          </w:tcPr>
          <w:p>
            <w:r>
              <w:rPr>
                <w:rFonts w:ascii="Arial" w:cs="Arial" w:eastAsia="Arial" w:hAnsi="Arial"/>
                <w:b w:val="false"/>
                <w:bCs w:val="false"/>
                <w:color w:val="222222"/>
                <w:sz w:val="20"/>
                <w:szCs w:val="20"/>
              </w:rPr>
              <w:t xml:space="preserve">8</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MVC / Layered</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Architectural</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Entire codebase</w:t>
            </w:r>
          </w:p>
        </w:tc>
        <w:tc>
          <w:tcPr>
            <w:tcW w:type="dxa" w:w="1872"/>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val="false"/>
                <w:bCs w:val="false"/>
                <w:color w:val="222222"/>
                <w:sz w:val="20"/>
                <w:szCs w:val="20"/>
              </w:rPr>
              <w:t xml:space="preserve">Separation of concerns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StudyLock LMS | SCD Project | Riphah International University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color w:val="666666"/>
        <w:sz w:val="18"/>
        <w:szCs w:val="18"/>
      </w:rPr>
      <w:t xml:space="preserve">StudyLock LMS — Design Patterns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40" w:before="280"/>
      <w:outlineLvl w:val="1"/>
    </w:pPr>
    <w:rPr>
      <w:rFonts w:ascii="Arial" w:cs="Arial" w:eastAsia="Arial" w:hAnsi="Arial"/>
      <w:b/>
      <w:bCs/>
      <w:sz w:val="26"/>
      <w:szCs w:val="26"/>
    </w:rPr>
  </w:style>
  <w:style w:type="paragraph" w:styleId="Heading3">
    <w:name w:val="Heading 3"/>
    <w:basedOn w:val="Normal"/>
    <w:next w:val="Normal"/>
    <w:qFormat/>
    <w:pPr>
      <w:spacing w:after="100" w:before="2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2026-06-18T19:10:07.600Z</dcterms:created>
  <dcterms:modified xsi:type="dcterms:W3CDTF">2026-06-18T19:10:07.600Z</dcterms:modified>
</cp:coreProperties>
</file>

<file path=docProps/custom.xml><?xml version="1.0" encoding="utf-8"?>
<Properties xmlns="http://schemas.openxmlformats.org/officeDocument/2006/custom-properties" xmlns:vt="http://schemas.openxmlformats.org/officeDocument/2006/docPropsVTypes"/>
</file>