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April 2024 Financial Report provides a summary of income, expenses, and net operating profit for Acme Corp. Total revenue increased by 12% over March, driven by the successful onboarding of three new enterprise clients.</w:t>
        <w:br/>
        <w:br/>
        <w:t>Operating expenses remained stable, and the cash flow projection for Q2 remains positive. Recommendations include reducing discretionary marketing spend and reallocating budget to customer success initiatives.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