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ReStep Footwear — Business Plan (Pakistan)</w:t>
      </w:r>
    </w:p>
    <w:p>
      <w:pPr>
        <w:spacing w:after="120"/>
      </w:pPr>
      <w:r>
        <w:rPr>
          <w:b w:val="0"/>
          <w:i/>
        </w:rPr>
        <w:t>Social-commerce thrifted footwear for Pakistan’s youth</w:t>
      </w:r>
    </w:p>
    <w:p>
      <w:pPr>
        <w:spacing w:after="120"/>
      </w:pPr>
      <w:r>
        <w:rPr>
          <w:b w:val="0"/>
          <w:i w:val="0"/>
        </w:rPr>
        <w:t>Prepared by: ReStep Footwear (Partnership — Lahore)</w:t>
      </w:r>
    </w:p>
    <w:p>
      <w:pPr>
        <w:spacing w:after="120"/>
      </w:pPr>
      <w:r>
        <w:rPr>
          <w:b w:val="0"/>
          <w:i w:val="0"/>
        </w:rPr>
        <w:t>Date: January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spacing w:after="120"/>
      </w:pPr>
      <w:r>
        <w:rPr>
          <w:b w:val="0"/>
          <w:i w:val="0"/>
        </w:rPr>
        <w:t>1. Executive Summary</w:t>
      </w:r>
    </w:p>
    <w:p>
      <w:pPr>
        <w:spacing w:after="120"/>
      </w:pPr>
      <w:r>
        <w:rPr>
          <w:b w:val="0"/>
          <w:i w:val="0"/>
        </w:rPr>
        <w:t>2. Business Description</w:t>
      </w:r>
    </w:p>
    <w:p>
      <w:pPr>
        <w:spacing w:after="120"/>
      </w:pPr>
      <w:r>
        <w:rPr>
          <w:b w:val="0"/>
          <w:i w:val="0"/>
        </w:rPr>
        <w:t>3. Product/Service and Value Additions</w:t>
      </w:r>
    </w:p>
    <w:p>
      <w:pPr>
        <w:spacing w:after="120"/>
      </w:pPr>
      <w:r>
        <w:rPr>
          <w:b w:val="0"/>
          <w:i w:val="0"/>
        </w:rPr>
        <w:t>4. Industry Analysis (Size, Trends, Porter’s Five Forces)</w:t>
      </w:r>
    </w:p>
    <w:p>
      <w:pPr>
        <w:spacing w:after="120"/>
      </w:pPr>
      <w:r>
        <w:rPr>
          <w:b w:val="0"/>
          <w:i w:val="0"/>
        </w:rPr>
        <w:t>5. Macro Environment (PESTLE — Pakistan)</w:t>
      </w:r>
    </w:p>
    <w:p>
      <w:pPr>
        <w:spacing w:after="120"/>
      </w:pPr>
      <w:r>
        <w:rPr>
          <w:b w:val="0"/>
          <w:i w:val="0"/>
        </w:rPr>
        <w:t>6. Market Segmentation &amp; Target Market</w:t>
      </w:r>
    </w:p>
    <w:p>
      <w:pPr>
        <w:spacing w:after="120"/>
      </w:pPr>
      <w:r>
        <w:rPr>
          <w:b w:val="0"/>
          <w:i w:val="0"/>
        </w:rPr>
        <w:t>7. Competitor Analysis</w:t>
      </w:r>
    </w:p>
    <w:p>
      <w:pPr>
        <w:spacing w:after="120"/>
      </w:pPr>
      <w:r>
        <w:rPr>
          <w:b w:val="0"/>
          <w:i w:val="0"/>
        </w:rPr>
        <w:t>8. Customer Details &amp; Relationship Management</w:t>
      </w:r>
    </w:p>
    <w:p>
      <w:pPr>
        <w:spacing w:after="120"/>
      </w:pPr>
      <w:r>
        <w:rPr>
          <w:b w:val="0"/>
          <w:i w:val="0"/>
        </w:rPr>
        <w:t>9. Marketing Strategy (4Ps + Sales Cycle)</w:t>
      </w:r>
    </w:p>
    <w:p>
      <w:pPr>
        <w:spacing w:after="120"/>
      </w:pPr>
      <w:r>
        <w:rPr>
          <w:b w:val="0"/>
          <w:i w:val="0"/>
        </w:rPr>
        <w:t>10. Operations &amp; Logistics</w:t>
      </w:r>
    </w:p>
    <w:p>
      <w:pPr>
        <w:spacing w:after="120"/>
      </w:pPr>
      <w:r>
        <w:rPr>
          <w:b w:val="0"/>
          <w:i w:val="0"/>
        </w:rPr>
        <w:t>11. Management Team, Governance, and Mentor</w:t>
      </w:r>
    </w:p>
    <w:p>
      <w:pPr>
        <w:spacing w:after="120"/>
      </w:pPr>
      <w:r>
        <w:rPr>
          <w:b w:val="0"/>
          <w:i w:val="0"/>
        </w:rPr>
        <w:t>12. Product/Service Development Plan</w:t>
      </w:r>
    </w:p>
    <w:p>
      <w:pPr>
        <w:spacing w:after="120"/>
      </w:pPr>
      <w:r>
        <w:rPr>
          <w:b w:val="0"/>
          <w:i w:val="0"/>
        </w:rPr>
        <w:t>13. Financial Projections (Assumptions, Break-even, 6-Month Models, Ratios)</w:t>
      </w:r>
    </w:p>
    <w:p>
      <w:pPr>
        <w:spacing w:after="120"/>
      </w:pPr>
      <w:r>
        <w:rPr>
          <w:b w:val="0"/>
          <w:i w:val="0"/>
        </w:rPr>
        <w:t>14. Risks, Contingency Plan, Exit Strategy</w:t>
      </w:r>
    </w:p>
    <w:p>
      <w:pPr>
        <w:spacing w:after="120"/>
      </w:pPr>
      <w:r>
        <w:rPr>
          <w:b w:val="0"/>
          <w:i w:val="0"/>
        </w:rPr>
        <w:t>15. Visual Exhibits</w:t>
      </w:r>
    </w:p>
    <w:p>
      <w:pPr>
        <w:spacing w:after="120"/>
      </w:pPr>
      <w:r>
        <w:rPr>
          <w:b w:val="0"/>
          <w:i w:val="0"/>
        </w:rPr>
        <w:t>16. Data Appendix &amp; Pakistan Statistics</w:t>
      </w:r>
    </w:p>
    <w:p>
      <w:pPr>
        <w:spacing w:after="120"/>
      </w:pPr>
      <w:r>
        <w:rPr>
          <w:b w:val="0"/>
          <w:i w:val="0"/>
        </w:rPr>
        <w:t>17. Compliance Notes (GST, Import, Courier)</w:t>
      </w:r>
    </w:p>
    <w:p>
      <w:r>
        <w:br w:type="page"/>
      </w:r>
    </w:p>
    <w:p>
      <w:pPr>
        <w:pStyle w:val="Heading1"/>
        <w:jc w:val="left"/>
      </w:pPr>
      <w:r>
        <w:t>1) Executive Summary</w:t>
      </w:r>
    </w:p>
    <w:p>
      <w:pPr>
        <w:spacing w:after="120"/>
      </w:pPr>
      <w:r>
        <w:rPr>
          <w:b w:val="0"/>
          <w:i w:val="0"/>
        </w:rPr>
        <w:t>Lahore-based partnership selling authentic, cleaned, graded thrifted shoes via Instagram/TikTok with COD nationwide.</w:t>
      </w:r>
    </w:p>
    <w:p>
      <w:pPr>
        <w:spacing w:after="120"/>
      </w:pPr>
      <w:r>
        <w:rPr>
          <w:b w:val="0"/>
          <w:i w:val="0"/>
        </w:rPr>
        <w:t>Ownership &amp; profit/loss: Partner A 60%, Partner B 25%, Partner C 15%.</w:t>
      </w:r>
    </w:p>
    <w:p>
      <w:pPr>
        <w:spacing w:after="120"/>
      </w:pPr>
      <w:r>
        <w:rPr>
          <w:b w:val="0"/>
          <w:i w:val="0"/>
        </w:rPr>
        <w:t>Value: Affordable branded footwear; hygiene assurance; transparent grading (A/B/C); 3‑day exchange for trust (youth 16–35).</w:t>
      </w:r>
    </w:p>
    <w:p>
      <w:pPr>
        <w:spacing w:after="120"/>
      </w:pPr>
      <w:r>
        <w:rPr>
          <w:b w:val="0"/>
          <w:i w:val="0"/>
        </w:rPr>
        <w:t>Traction &amp; capacity: ~100 customers/month; 2–3 purchases/year; ROAS 3x–5x; CPA PKR 300–500; capacity 200 pairs/month.</w:t>
      </w:r>
    </w:p>
    <w:p>
      <w:pPr>
        <w:spacing w:after="120"/>
      </w:pPr>
      <w:r>
        <w:rPr>
          <w:b w:val="0"/>
          <w:i w:val="0"/>
        </w:rPr>
        <w:t>12–18 month goals: PKR 600k+ monthly revenue; &gt;3 repeats/year; CPA 250–350; 24–48h delivery in top cities.</w:t>
      </w:r>
    </w:p>
    <w:p>
      <w:pPr>
        <w:spacing w:after="120"/>
      </w:pPr>
      <w:r>
        <w:rPr>
          <w:b w:val="0"/>
          <w:i w:val="0"/>
        </w:rPr>
        <w:t>Funding: PKR 700,000 self-funded — inventory, marketing, packaging/hygiene, storage/utilities, working capital.</w:t>
      </w:r>
    </w:p>
    <w:p>
      <w:r>
        <w:drawing>
          <wp:inline xmlns:a="http://schemas.openxmlformats.org/drawingml/2006/main" xmlns:pic="http://schemas.openxmlformats.org/drawingml/2006/picture">
            <wp:extent cx="4572000" cy="2674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venue_capa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ES-1: Monthly revenue and capacity utilization (6M)</w:t>
      </w:r>
    </w:p>
    <w:p>
      <w:r>
        <w:drawing>
          <wp:inline xmlns:a="http://schemas.openxmlformats.org/drawingml/2006/main" xmlns:pic="http://schemas.openxmlformats.org/drawingml/2006/picture">
            <wp:extent cx="4572000" cy="2665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c_lt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ES-2: CAC vs LTV (illustrative)</w:t>
      </w:r>
    </w:p>
    <w:p>
      <w:r>
        <w:br w:type="page"/>
      </w:r>
    </w:p>
    <w:p>
      <w:pPr>
        <w:pStyle w:val="Heading1"/>
        <w:jc w:val="left"/>
      </w:pPr>
      <w:r>
        <w:t>2) Business Description</w:t>
      </w:r>
    </w:p>
    <w:p>
      <w:pPr>
        <w:spacing w:after="120"/>
      </w:pPr>
      <w:r>
        <w:rPr>
          <w:b w:val="0"/>
          <w:i w:val="0"/>
        </w:rPr>
        <w:t>Legal: Partnership (AOP), Lahore. Ownership ratios aligned to profit/loss 60%/25%/15%.</w:t>
      </w:r>
    </w:p>
    <w:p>
      <w:pPr>
        <w:spacing w:after="120"/>
      </w:pPr>
      <w:r>
        <w:rPr>
          <w:b w:val="0"/>
          <w:i w:val="0"/>
        </w:rPr>
        <w:t>Mission: Reliable, hygienically processed branded thrifted shoes at accessible prices, mobile-first social commerce, fast COD.</w:t>
      </w:r>
    </w:p>
    <w:p>
      <w:pPr>
        <w:pStyle w:val="Heading1"/>
        <w:jc w:val="left"/>
      </w:pPr>
      <w:r>
        <w:t>3) Product/Service and Value Additions</w:t>
      </w:r>
    </w:p>
    <w:p>
      <w:pPr>
        <w:spacing w:after="120"/>
      </w:pPr>
      <w:r>
        <w:rPr>
          <w:b w:val="0"/>
          <w:i w:val="0"/>
        </w:rPr>
        <w:t>Product: Sneakers/trainers, casual, lifestyle footwear.</w:t>
      </w:r>
    </w:p>
    <w:p>
      <w:pPr>
        <w:spacing w:after="120"/>
      </w:pPr>
      <w:r>
        <w:rPr>
          <w:b w:val="0"/>
          <w:i w:val="0"/>
        </w:rPr>
        <w:t>Features: Authenticity checks; cleaning/deodorization; detailed photos &amp; sizing; 3‑day exchange.</w:t>
      </w:r>
    </w:p>
    <w:p>
      <w:pPr>
        <w:spacing w:after="120"/>
      </w:pPr>
      <w:r>
        <w:rPr>
          <w:b w:val="0"/>
          <w:i w:val="0"/>
        </w:rPr>
        <w:t>Value: Hygiene workflow; transparent grading; DM sizing support; trust signals; 1–3 day sales cycle; COD via TCS/Leopards.</w:t>
      </w:r>
    </w:p>
    <w:p>
      <w:r>
        <w:br w:type="page"/>
      </w:r>
    </w:p>
    <w:p>
      <w:pPr>
        <w:pStyle w:val="Heading1"/>
        <w:jc w:val="left"/>
      </w:pPr>
      <w:r>
        <w:t>4) Industry Analysis (Pakistan)</w:t>
      </w:r>
    </w:p>
    <w:p>
      <w:pPr>
        <w:spacing w:after="120"/>
      </w:pPr>
      <w:r>
        <w:rPr>
          <w:b w:val="0"/>
          <w:i w:val="0"/>
        </w:rPr>
        <w:t>Market: ~USD 5.8–5.89B (2025); ~600M pairs/year; 99% non-luxury; thrift &lt;5–10% by volume (informal).</w:t>
      </w:r>
    </w:p>
    <w:p>
      <w:pPr>
        <w:spacing w:after="120"/>
      </w:pPr>
      <w:r>
        <w:rPr>
          <w:b w:val="0"/>
          <w:i w:val="0"/>
        </w:rPr>
        <w:t>Trends: Youth-driven demand; mobile-first shopping; social commerce; COD; improving logistics.</w:t>
      </w:r>
    </w:p>
    <w:p>
      <w:r>
        <w:drawing>
          <wp:inline xmlns:a="http://schemas.openxmlformats.org/drawingml/2006/main" xmlns:pic="http://schemas.openxmlformats.org/drawingml/2006/picture">
            <wp:extent cx="4572000" cy="2928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8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4-1: Porter’s Five Forces — thrifted footwear in Pakistan</w:t>
      </w:r>
    </w:p>
    <w:p>
      <w:r>
        <w:br w:type="page"/>
      </w:r>
    </w:p>
    <w:p>
      <w:pPr>
        <w:pStyle w:val="Heading1"/>
        <w:jc w:val="left"/>
      </w:pPr>
      <w:r>
        <w:t>5) Macro Environment (PESTLE — Pakistan)</w:t>
      </w:r>
    </w:p>
    <w:p>
      <w:pPr>
        <w:spacing w:after="120"/>
      </w:pPr>
      <w:r>
        <w:rPr>
          <w:b w:val="0"/>
          <w:i w:val="0"/>
        </w:rPr>
        <w:t>Political: Stabilization; IMF constraints; import policy for used goods may shift.</w:t>
      </w:r>
    </w:p>
    <w:p>
      <w:pPr>
        <w:spacing w:after="120"/>
      </w:pPr>
      <w:r>
        <w:rPr>
          <w:b w:val="0"/>
          <w:i w:val="0"/>
        </w:rPr>
        <w:t>Economic: CPI ~5.6% (Dec 2025); SBP policy rate ~10.5%; USD/PKR ~280.</w:t>
      </w:r>
    </w:p>
    <w:p>
      <w:pPr>
        <w:spacing w:after="120"/>
      </w:pPr>
      <w:r>
        <w:rPr>
          <w:b w:val="0"/>
          <w:i w:val="0"/>
        </w:rPr>
        <w:t>Social: Youth (15–35 ~35–40%); urbanization ~34–35%.</w:t>
      </w:r>
    </w:p>
    <w:p>
      <w:pPr>
        <w:spacing w:after="120"/>
      </w:pPr>
      <w:r>
        <w:rPr>
          <w:b w:val="0"/>
          <w:i w:val="0"/>
        </w:rPr>
        <w:t>Technological: Social commerce; wallets rising; strong couriers.</w:t>
      </w:r>
    </w:p>
    <w:p>
      <w:pPr>
        <w:spacing w:after="120"/>
      </w:pPr>
      <w:r>
        <w:rPr>
          <w:b w:val="0"/>
          <w:i w:val="0"/>
        </w:rPr>
        <w:t>Legal: GST 18% on goods; provincial services tax 13–16%; Chapter 64 customs; IPO oversight for secondhand.</w:t>
      </w:r>
    </w:p>
    <w:p>
      <w:pPr>
        <w:spacing w:after="120"/>
      </w:pPr>
      <w:r>
        <w:rPr>
          <w:b w:val="0"/>
          <w:i w:val="0"/>
        </w:rPr>
        <w:t>Environmental: Energy costs/load-shedding; efficient operations needed.</w:t>
      </w:r>
    </w:p>
    <w:p>
      <w:r>
        <w:br w:type="page"/>
      </w:r>
    </w:p>
    <w:p>
      <w:pPr>
        <w:pStyle w:val="Heading1"/>
        <w:jc w:val="left"/>
      </w:pPr>
      <w:r>
        <w:t>6) Market Segmentation &amp; Target Market</w:t>
      </w:r>
    </w:p>
    <w:p>
      <w:pPr>
        <w:spacing w:after="120"/>
      </w:pPr>
      <w:r>
        <w:rPr>
          <w:b w:val="0"/>
          <w:i w:val="0"/>
        </w:rPr>
        <w:t>Demographic: 16–35 youth; students; early professionals.</w:t>
      </w:r>
    </w:p>
    <w:p>
      <w:pPr>
        <w:spacing w:after="120"/>
      </w:pPr>
      <w:r>
        <w:rPr>
          <w:b w:val="0"/>
          <w:i w:val="0"/>
        </w:rPr>
        <w:t>Geographic: Lahore; Karachi/Islamabad/Faisalabad/Multan/Peshawar; urban/peri-urban.</w:t>
      </w:r>
    </w:p>
    <w:p>
      <w:pPr>
        <w:spacing w:after="120"/>
      </w:pPr>
      <w:r>
        <w:rPr>
          <w:b w:val="0"/>
          <w:i w:val="0"/>
        </w:rPr>
        <w:t>Psychographic: Trend-driven; value-conscious; sustainability-aware.</w:t>
      </w:r>
    </w:p>
    <w:p>
      <w:pPr>
        <w:spacing w:after="120"/>
      </w:pPr>
      <w:r>
        <w:rPr>
          <w:b w:val="0"/>
          <w:i w:val="0"/>
        </w:rPr>
        <w:t>Behavioral: 2–3 purchases/year; drops/limited editions; high DM engagement.</w:t>
      </w:r>
    </w:p>
    <w:p>
      <w:r>
        <w:drawing>
          <wp:inline xmlns:a="http://schemas.openxmlformats.org/drawingml/2006/main" xmlns:pic="http://schemas.openxmlformats.org/drawingml/2006/picture">
            <wp:extent cx="4572000" cy="2646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s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6-1: Positioning map — price vs quality</w:t>
      </w:r>
    </w:p>
    <w:p>
      <w:r>
        <w:br w:type="page"/>
      </w:r>
    </w:p>
    <w:p>
      <w:pPr>
        <w:pStyle w:val="Heading1"/>
        <w:jc w:val="left"/>
      </w:pPr>
      <w:r>
        <w:t>7) Competitor Analysis</w:t>
      </w:r>
    </w:p>
    <w:p>
      <w:pPr>
        <w:spacing w:after="120"/>
      </w:pPr>
      <w:r>
        <w:rPr>
          <w:b w:val="0"/>
          <w:i w:val="0"/>
        </w:rPr>
        <w:t>- ThriftKicks PK (Started: 2021), Annual sales est.: PKR 3–5 million; Channels: Instagram, WhatsApp; Pricing: PKR 3,000–6,000; Coverage: Lahore core; nationwide COD.</w:t>
      </w:r>
    </w:p>
    <w:p>
      <w:pPr>
        <w:spacing w:after="120"/>
      </w:pPr>
      <w:r>
        <w:rPr>
          <w:b w:val="0"/>
          <w:i w:val="0"/>
        </w:rPr>
        <w:t>- SecondSole (Started: 2022), Annual sales est.: PKR 3–5 million; Channels: Instagram, WhatsApp; Pricing: PKR 3,000–6,000; Coverage: Lahore core; nationwide COD.</w:t>
      </w:r>
    </w:p>
    <w:p>
      <w:pPr>
        <w:spacing w:after="120"/>
      </w:pPr>
      <w:r>
        <w:rPr>
          <w:b w:val="0"/>
          <w:i w:val="0"/>
        </w:rPr>
        <w:t>- Local IG Sellers (Started: 2020–2024), Annual sales est.: PKR 2–4 million; Channels: Instagram, WhatsApp; Pricing: PKR 2,500–5,500; Coverage: Various; nationwide COD.</w:t>
      </w:r>
    </w:p>
    <w:p>
      <w:r>
        <w:br w:type="page"/>
      </w:r>
    </w:p>
    <w:p>
      <w:pPr>
        <w:pStyle w:val="Heading1"/>
        <w:jc w:val="left"/>
      </w:pPr>
      <w:r>
        <w:t>8) Customer Details &amp; Relationship Management</w:t>
      </w:r>
    </w:p>
    <w:p>
      <w:pPr>
        <w:spacing w:after="120"/>
      </w:pPr>
      <w:r>
        <w:rPr>
          <w:b w:val="0"/>
          <w:i w:val="0"/>
        </w:rPr>
        <w:t>Customers: ~100/month; students/young professionals; purchase frequency 2–3/year; budget share ~5–10% of fashion spend.</w:t>
      </w:r>
    </w:p>
    <w:p>
      <w:pPr>
        <w:spacing w:after="120"/>
      </w:pPr>
      <w:r>
        <w:rPr>
          <w:b w:val="0"/>
          <w:i w:val="0"/>
        </w:rPr>
        <w:t>CRM: DMs + WhatsApp; post-purchase check-ins; loyalty discounts; early access; UGC reposts.</w:t>
      </w:r>
    </w:p>
    <w:p>
      <w:r>
        <w:br w:type="page"/>
      </w:r>
    </w:p>
    <w:p>
      <w:pPr>
        <w:pStyle w:val="Heading1"/>
        <w:jc w:val="left"/>
      </w:pPr>
      <w:r>
        <w:t>9) Marketing Strategy</w:t>
      </w:r>
    </w:p>
    <w:p>
      <w:pPr>
        <w:spacing w:after="120"/>
      </w:pPr>
      <w:r>
        <w:rPr>
          <w:b w:val="0"/>
          <w:i w:val="0"/>
        </w:rPr>
        <w:t>Product: Cleaned, graded, authenticity checks; 3‑day exchange; fast COD; DM support; reviews.</w:t>
      </w:r>
    </w:p>
    <w:p>
      <w:pPr>
        <w:spacing w:after="120"/>
      </w:pPr>
      <w:r>
        <w:rPr>
          <w:b w:val="0"/>
          <w:i w:val="0"/>
        </w:rPr>
        <w:t>Pricing by grade: A: PKR 5500, B: PKR 4000, C: PKR 2800; Mix A/B/C: 35%/45%/20%; Blended ASP ≈ PKR 4285.</w:t>
      </w:r>
    </w:p>
    <w:p>
      <w:pPr>
        <w:spacing w:after="120"/>
      </w:pPr>
      <w:r>
        <w:rPr>
          <w:b w:val="0"/>
          <w:i w:val="0"/>
        </w:rPr>
        <w:t>Placement: IG/TikTok; WhatsApp; Daraz (commission ~9% + payment fee ~2%).</w:t>
      </w:r>
    </w:p>
    <w:p>
      <w:pPr>
        <w:spacing w:after="120"/>
      </w:pPr>
      <w:r>
        <w:rPr>
          <w:b w:val="0"/>
          <w:i w:val="0"/>
        </w:rPr>
        <w:t>Promotion: PKR 30k/month; ROAS 3x–5x; CPA PKR 300–500; creatives: cleaning transitions; unboxing; sizing guides; UGC/influencers.</w:t>
      </w:r>
    </w:p>
    <w:p>
      <w:pPr>
        <w:spacing w:after="120"/>
      </w:pPr>
      <w:r>
        <w:rPr>
          <w:b w:val="0"/>
          <w:i w:val="0"/>
        </w:rPr>
        <w:t>Sales cycle: 1–3 days; DM→Order 15–25%; 6‑month repeat &gt;30%.</w:t>
      </w:r>
    </w:p>
    <w:p>
      <w:r>
        <w:drawing>
          <wp:inline xmlns:a="http://schemas.openxmlformats.org/drawingml/2006/main" xmlns:pic="http://schemas.openxmlformats.org/drawingml/2006/picture">
            <wp:extent cx="4572000" cy="2686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9-1: Sales funnel (illustrative)</w:t>
      </w:r>
    </w:p>
    <w:p>
      <w:r>
        <w:br w:type="page"/>
      </w:r>
    </w:p>
    <w:p>
      <w:pPr>
        <w:pStyle w:val="Heading1"/>
        <w:jc w:val="left"/>
      </w:pPr>
      <w:r>
        <w:t>10) Operations &amp; Logistics</w:t>
      </w:r>
    </w:p>
    <w:p>
      <w:pPr>
        <w:spacing w:after="120"/>
      </w:pPr>
      <w:r>
        <w:rPr>
          <w:b w:val="0"/>
          <w:i w:val="0"/>
        </w:rPr>
        <w:t>Vendors: Karachi wholesalers; Terms: Cash on pickup; 50% advance for premium bales; Lead time: 5–7 days Karachi→Lahore.</w:t>
      </w:r>
    </w:p>
    <w:p>
      <w:pPr>
        <w:spacing w:after="120"/>
      </w:pPr>
      <w:r>
        <w:rPr>
          <w:b w:val="0"/>
          <w:i w:val="0"/>
        </w:rPr>
        <w:t>Yield (saleable): 85% with grade split A/B/C: 35%/45%/20%; Waste ~7%.</w:t>
      </w:r>
    </w:p>
    <w:p>
      <w:pPr>
        <w:spacing w:after="120"/>
      </w:pPr>
      <w:r>
        <w:rPr>
          <w:b w:val="0"/>
          <w:i w:val="0"/>
        </w:rPr>
        <w:t>Capacity: ~200 pairs/month; home-based storage; cleaning; photography.</w:t>
      </w:r>
    </w:p>
    <w:p>
      <w:pPr>
        <w:spacing w:after="120"/>
      </w:pPr>
      <w:r>
        <w:rPr>
          <w:b w:val="0"/>
          <w:i w:val="0"/>
        </w:rPr>
        <w:t>Courier: TCS &amp; Leopards; Packaging per pair: PKR 110; Utilities+storage monthly: PKR 20000.</w:t>
      </w:r>
    </w:p>
    <w:p>
      <w:r>
        <w:drawing>
          <wp:inline xmlns:a="http://schemas.openxmlformats.org/drawingml/2006/main" xmlns:pic="http://schemas.openxmlformats.org/drawingml/2006/picture">
            <wp:extent cx="4572000" cy="26925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rier_co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10-1: Average courier costs by city (assumed)</w:t>
      </w:r>
    </w:p>
    <w:p>
      <w:r>
        <w:br w:type="page"/>
      </w:r>
    </w:p>
    <w:p>
      <w:pPr>
        <w:pStyle w:val="Heading1"/>
        <w:jc w:val="left"/>
      </w:pPr>
      <w:r>
        <w:t>11) Management Team, Governance, and Mentor</w:t>
      </w:r>
    </w:p>
    <w:p>
      <w:pPr>
        <w:spacing w:after="120"/>
      </w:pPr>
      <w:r>
        <w:rPr>
          <w:b w:val="0"/>
          <w:i w:val="0"/>
        </w:rPr>
        <w:t>Org: Partners (Strategy/Finance/Compliance); Operations; Marketing; Fulfillment.</w:t>
      </w:r>
    </w:p>
    <w:p>
      <w:pPr>
        <w:spacing w:after="120"/>
      </w:pPr>
      <w:r>
        <w:rPr>
          <w:b w:val="0"/>
          <w:i w:val="0"/>
        </w:rPr>
        <w:t>Board: Partner A &amp; Partner B; Advisors: to be filled (retail/logistics; legal/tax).</w:t>
      </w:r>
    </w:p>
    <w:p>
      <w:pPr>
        <w:spacing w:after="120"/>
      </w:pPr>
      <w:r>
        <w:rPr>
          <w:b w:val="0"/>
          <w:i w:val="0"/>
        </w:rPr>
        <w:t>Mentor: University SME mentor (contact to be added).</w:t>
      </w:r>
    </w:p>
    <w:p>
      <w:r>
        <w:br w:type="page"/>
      </w:r>
    </w:p>
    <w:p>
      <w:pPr>
        <w:pStyle w:val="Heading1"/>
        <w:jc w:val="left"/>
      </w:pPr>
      <w:r>
        <w:t>12) Product/Service Development Plan</w:t>
      </w:r>
    </w:p>
    <w:p>
      <w:pPr>
        <w:spacing w:after="120"/>
      </w:pPr>
      <w:r>
        <w:rPr>
          <w:b w:val="0"/>
          <w:i w:val="0"/>
        </w:rPr>
        <w:t>Weekly: Bale sorting/grading; Cleaning/sanitization; Photography/listings. Monthly: Packaging stock; Influencer collabs.</w:t>
      </w:r>
    </w:p>
    <w:p>
      <w:r>
        <w:br w:type="page"/>
      </w:r>
    </w:p>
    <w:p>
      <w:pPr>
        <w:pStyle w:val="Heading1"/>
        <w:jc w:val="left"/>
      </w:pPr>
      <w:r>
        <w:t>13) Financial Projections</w:t>
      </w:r>
    </w:p>
    <w:p>
      <w:pPr>
        <w:spacing w:after="120"/>
      </w:pPr>
      <w:r>
        <w:rPr>
          <w:b w:val="0"/>
          <w:i w:val="0"/>
        </w:rPr>
        <w:t>Assumptions: COGS ~60%; Opex ~15%; returns 7%; blended ASP ≈ PKR 4285.</w:t>
      </w:r>
    </w:p>
    <w:p>
      <w:pPr>
        <w:spacing w:after="120"/>
      </w:pPr>
      <w:r>
        <w:rPr>
          <w:b w:val="0"/>
          <w:i w:val="0"/>
        </w:rPr>
        <w:t>Break-even: Contribution per pair ≈ PKR 1714; Fixed monthly ≈ PKR 55000; Break-even ≈ 32 pairs/month.</w:t>
      </w:r>
    </w:p>
    <w:p>
      <w:r>
        <w:drawing>
          <wp:inline xmlns:a="http://schemas.openxmlformats.org/drawingml/2006/main" xmlns:pic="http://schemas.openxmlformats.org/drawingml/2006/picture">
            <wp:extent cx="4572000" cy="26591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reak_ev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13-1: Break-even chart</w:t>
      </w:r>
    </w:p>
    <w:p>
      <w:r>
        <w:drawing>
          <wp:inline xmlns:a="http://schemas.openxmlformats.org/drawingml/2006/main" xmlns:pic="http://schemas.openxmlformats.org/drawingml/2006/picture">
            <wp:extent cx="4572000" cy="2686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n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13-2: P&amp;L trends (6M)</w:t>
      </w:r>
    </w:p>
    <w:p>
      <w:pPr>
        <w:spacing w:after="120"/>
      </w:pPr>
      <w:r>
        <w:rPr>
          <w:b w:val="0"/>
          <w:i w:val="0"/>
        </w:rPr>
        <w:t>Ratios (Month 6; illustrative): Current ratio &gt; 10; Debt-to-equity = 0; ROE ~39%; Gross margin ~40%; Net margin ~25%.</w:t>
      </w:r>
    </w:p>
    <w:p>
      <w:r>
        <w:br w:type="page"/>
      </w:r>
    </w:p>
    <w:p>
      <w:pPr>
        <w:pStyle w:val="Heading1"/>
        <w:jc w:val="left"/>
      </w:pPr>
      <w:r>
        <w:t>14) Risks, Contingency Plan, Exit Strategy</w:t>
      </w:r>
    </w:p>
    <w:p>
      <w:pPr>
        <w:spacing w:after="120"/>
      </w:pPr>
      <w:r>
        <w:rPr>
          <w:b w:val="0"/>
          <w:i w:val="0"/>
        </w:rPr>
        <w:t>Risks: Supply quality/consistency; customer trust; platform dependency.</w:t>
      </w:r>
    </w:p>
    <w:p>
      <w:pPr>
        <w:spacing w:after="120"/>
      </w:pPr>
      <w:r>
        <w:rPr>
          <w:b w:val="0"/>
          <w:i w:val="0"/>
        </w:rPr>
        <w:t>Contingency: Multi-wholesaler sourcing; transparency &amp; 3‑day exchange; diversify TikTok/WhatsApp; build Daraz; campus pop-ups.</w:t>
      </w:r>
    </w:p>
    <w:p>
      <w:pPr>
        <w:spacing w:after="120"/>
      </w:pPr>
      <w:r>
        <w:rPr>
          <w:b w:val="0"/>
          <w:i w:val="0"/>
        </w:rPr>
        <w:t>Exit: Management buyout; strategic sale; orderly wind-down.</w:t>
      </w:r>
    </w:p>
    <w:p>
      <w:r>
        <w:br w:type="page"/>
      </w:r>
    </w:p>
    <w:p>
      <w:pPr>
        <w:pStyle w:val="Heading1"/>
        <w:jc w:val="left"/>
      </w:pPr>
      <w:r>
        <w:t>15) Visual Exhibits (selection)</w:t>
      </w:r>
    </w:p>
    <w:p>
      <w:r>
        <w:drawing>
          <wp:inline xmlns:a="http://schemas.openxmlformats.org/drawingml/2006/main" xmlns:pic="http://schemas.openxmlformats.org/drawingml/2006/picture">
            <wp:extent cx="4572000" cy="2674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venue_capa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Revenue Capacity</w:t>
      </w:r>
    </w:p>
    <w:p>
      <w:r>
        <w:drawing>
          <wp:inline xmlns:a="http://schemas.openxmlformats.org/drawingml/2006/main" xmlns:pic="http://schemas.openxmlformats.org/drawingml/2006/picture">
            <wp:extent cx="4572000" cy="2665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c_lt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Cac Ltv</w:t>
      </w:r>
    </w:p>
    <w:p>
      <w:r>
        <w:drawing>
          <wp:inline xmlns:a="http://schemas.openxmlformats.org/drawingml/2006/main" xmlns:pic="http://schemas.openxmlformats.org/drawingml/2006/picture">
            <wp:extent cx="4572000" cy="29281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8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Porter</w:t>
      </w:r>
    </w:p>
    <w:p>
      <w:r>
        <w:drawing>
          <wp:inline xmlns:a="http://schemas.openxmlformats.org/drawingml/2006/main" xmlns:pic="http://schemas.openxmlformats.org/drawingml/2006/picture">
            <wp:extent cx="4572000" cy="26925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rier_co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Courier Costs</w:t>
      </w:r>
    </w:p>
    <w:p>
      <w:r>
        <w:drawing>
          <wp:inline xmlns:a="http://schemas.openxmlformats.org/drawingml/2006/main" xmlns:pic="http://schemas.openxmlformats.org/drawingml/2006/picture">
            <wp:extent cx="4572000" cy="2686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Funnel</w:t>
      </w:r>
    </w:p>
    <w:p>
      <w:r>
        <w:drawing>
          <wp:inline xmlns:a="http://schemas.openxmlformats.org/drawingml/2006/main" xmlns:pic="http://schemas.openxmlformats.org/drawingml/2006/picture">
            <wp:extent cx="4572000" cy="2686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n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Pnl</w:t>
      </w:r>
    </w:p>
    <w:p>
      <w:r>
        <w:drawing>
          <wp:inline xmlns:a="http://schemas.openxmlformats.org/drawingml/2006/main" xmlns:pic="http://schemas.openxmlformats.org/drawingml/2006/picture">
            <wp:extent cx="4572000" cy="26591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reak_ev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Break Even</w:t>
      </w:r>
    </w:p>
    <w:p>
      <w:r>
        <w:drawing>
          <wp:inline xmlns:a="http://schemas.openxmlformats.org/drawingml/2006/main" xmlns:pic="http://schemas.openxmlformats.org/drawingml/2006/picture">
            <wp:extent cx="4572000" cy="26469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sitio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Exhibit: Fig Positioning</w:t>
      </w:r>
    </w:p>
    <w:p>
      <w:r>
        <w:br w:type="page"/>
      </w:r>
    </w:p>
    <w:p>
      <w:pPr>
        <w:pStyle w:val="Heading1"/>
        <w:jc w:val="left"/>
      </w:pPr>
      <w:r>
        <w:t>16) Data Appendix &amp; Pakistan Statistics (2025–2026)</w:t>
      </w:r>
    </w:p>
    <w:p>
      <w:pPr>
        <w:spacing w:after="120"/>
      </w:pPr>
      <w:r>
        <w:rPr>
          <w:b w:val="0"/>
          <w:i w:val="0"/>
        </w:rPr>
        <w:t>Youth &amp; Urbanization: Youth (15–35) ~35–40%; &gt;60% under 30; Urbanization ~34–35%.</w:t>
      </w:r>
    </w:p>
    <w:p>
      <w:pPr>
        <w:spacing w:after="120"/>
      </w:pPr>
      <w:r>
        <w:rPr>
          <w:b w:val="0"/>
          <w:i w:val="0"/>
        </w:rPr>
        <w:t>E-commerce &amp; Social: ~$10.4B (2025); mobile-first; COD ~75%; social commerce up to ~35% by 2026.</w:t>
      </w:r>
    </w:p>
    <w:p>
      <w:pPr>
        <w:spacing w:after="120"/>
      </w:pPr>
      <w:r>
        <w:rPr>
          <w:b w:val="0"/>
          <w:i w:val="0"/>
        </w:rPr>
        <w:t>Macro: CPI ~5.6% (Dec 2025); SBP policy rate ~10.5%; USD/PKR ~280.</w:t>
      </w:r>
    </w:p>
    <w:p>
      <w:r>
        <w:br w:type="page"/>
      </w:r>
    </w:p>
    <w:p>
      <w:pPr>
        <w:pStyle w:val="Heading1"/>
        <w:jc w:val="left"/>
      </w:pPr>
      <w:r>
        <w:t>17) Compliance Notes (GST, Import, Courier)</w:t>
      </w:r>
    </w:p>
    <w:p>
      <w:pPr>
        <w:spacing w:after="120"/>
      </w:pPr>
      <w:r>
        <w:rPr>
          <w:b w:val="0"/>
          <w:i w:val="0"/>
        </w:rPr>
        <w:t>GST: Standard 18% on goods; provincial services tax ~13–16%; potential e-commerce collection (e.g., 2% online).</w:t>
      </w:r>
    </w:p>
    <w:p>
      <w:pPr>
        <w:spacing w:after="120"/>
      </w:pPr>
      <w:r>
        <w:rPr>
          <w:b w:val="0"/>
          <w:i w:val="0"/>
        </w:rPr>
        <w:t>Importing Used Footwear: Documentation, inspections, hygiene compliance; Chapter 64 PCT; IPO oversight.</w:t>
      </w:r>
    </w:p>
    <w:p>
      <w:pPr>
        <w:spacing w:after="120"/>
      </w:pPr>
      <w:r>
        <w:rPr>
          <w:b w:val="0"/>
          <w:i w:val="0"/>
        </w:rPr>
        <w:t>Courier: TCS/Leopards nationwide; COD; tracking; TCS often for critical shipments; Leopards strong Tier‑II/III.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