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6B9"/>
          <w:sz w:val="50"/>
        </w:rPr>
        <w:t>GymOptix</w:t>
      </w:r>
    </w:p>
    <w:p>
      <w:pPr>
        <w:jc w:val="center"/>
      </w:pPr>
      <w:r>
        <w:rPr>
          <w:b/>
          <w:color w:val="147D86"/>
          <w:sz w:val="28"/>
        </w:rPr>
        <w:t>Related Work, Research Gap, and Experimental Comparison Framework</w:t>
      </w:r>
    </w:p>
    <w:p/>
    <w:p>
      <w:pPr>
        <w:spacing w:after="100" w:line="259" w:lineRule="auto"/>
      </w:pPr>
      <w:r>
        <w:t xml:space="preserve">Implementation status: GymOptix has not yet been experimentally evaluated. All GymOptix result fields are intentionally left as “...” and should be completed after the final experiments. </w:t>
      </w:r>
      <w:r>
        <w:rPr>
          <w:highlight w:val="yellow"/>
        </w:rPr>
        <w:t xml:space="preserve">[Items highlighted in yellow must be confirmed against the original papers before submission.]</w:t>
      </w:r>
    </w:p>
    <w:p>
      <w:pPr>
        <w:pStyle w:val="Heading1"/>
      </w:pPr>
      <w:r>
        <w:t xml:space="preserve">2.4 Literature Landscape</w:t>
      </w:r>
    </w:p>
    <w:p>
      <w:pPr>
        <w:spacing w:after="100" w:line="259" w:lineRule="auto"/>
      </w:pPr>
      <w:r>
        <w:t xml:space="preserve">The following matrix is derived from the research sheet compiled for this project. It summarizes the main studies considered during the literature review and identifies the dataset, methodological direction, reported result, and limitation relevant to GymOptix. Bracketed numbers refer to the reference list. All results are quoted as reported by the original authors under their own protocols, so rows are not directly comparable with one another.</w:t>
      </w:r>
    </w:p>
    <w:tbl>
      <w:tblPr>
        <w:tblW w:type="dxa" w:w="10224"/>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560"/>
        <w:gridCol w:w="2500"/>
        <w:gridCol w:w="1750"/>
        <w:gridCol w:w="1750"/>
        <w:gridCol w:w="1834"/>
        <w:gridCol w:w="1830"/>
      </w:tblGrid>
      <w:tr>
        <w:trPr>
          <w:cantSplit/>
          <w:tblHeader/>
        </w:trPr>
        <w:tc>
          <w:tcPr>
            <w:tcW w:type="dxa" w:w="560"/>
            <w:shd w:val="clear" w:color="auto" w:fill="0056B9"/>
            <w:vAlign w:val="center"/>
            <w:tcMar>
              <w:top w:w="50" w:type="dxa"/>
              <w:start w:w="60" w:type="dxa"/>
              <w:bottom w:w="50" w:type="dxa"/>
              <w:end w:w="60" w:type="dxa"/>
            </w:tcMar>
          </w:tcPr>
          <w:p>
            <w:pPr>
              <w:spacing w:after="0" w:line="240" w:lineRule="auto"/>
              <w:jc w:val="center"/>
            </w:pPr>
            <w:r>
              <w:rPr>
                <w:b/>
                <w:color w:val="FFFFFF"/>
                <w:sz w:val="16"/>
                <w:szCs w:val="16"/>
              </w:rPr>
              <w:t xml:space="preserve">Year</w:t>
            </w:r>
          </w:p>
        </w:tc>
        <w:tc>
          <w:tcPr>
            <w:tcW w:type="dxa" w:w="2500"/>
            <w:shd w:val="clear" w:color="auto" w:fill="0056B9"/>
            <w:vAlign w:val="center"/>
            <w:tcMar>
              <w:top w:w="50" w:type="dxa"/>
              <w:start w:w="60" w:type="dxa"/>
              <w:bottom w:w="50" w:type="dxa"/>
              <w:end w:w="60" w:type="dxa"/>
            </w:tcMar>
          </w:tcPr>
          <w:p>
            <w:pPr>
              <w:spacing w:after="0" w:line="240" w:lineRule="auto"/>
              <w:jc w:val="center"/>
            </w:pPr>
            <w:r>
              <w:rPr>
                <w:b/>
                <w:color w:val="FFFFFF"/>
                <w:sz w:val="16"/>
                <w:szCs w:val="16"/>
              </w:rPr>
              <w:t xml:space="preserve">Reference</w:t>
            </w:r>
          </w:p>
        </w:tc>
        <w:tc>
          <w:tcPr>
            <w:tcW w:type="dxa" w:w="1750"/>
            <w:shd w:val="clear" w:color="auto" w:fill="0056B9"/>
            <w:vAlign w:val="center"/>
            <w:tcMar>
              <w:top w:w="50" w:type="dxa"/>
              <w:start w:w="60" w:type="dxa"/>
              <w:bottom w:w="50" w:type="dxa"/>
              <w:end w:w="60" w:type="dxa"/>
            </w:tcMar>
          </w:tcPr>
          <w:p>
            <w:pPr>
              <w:spacing w:after="0" w:line="240" w:lineRule="auto"/>
              <w:jc w:val="center"/>
            </w:pPr>
            <w:r>
              <w:rPr>
                <w:b/>
                <w:color w:val="FFFFFF"/>
                <w:sz w:val="16"/>
                <w:szCs w:val="16"/>
              </w:rPr>
              <w:t xml:space="preserve">Dataset</w:t>
            </w:r>
          </w:p>
        </w:tc>
        <w:tc>
          <w:tcPr>
            <w:tcW w:type="dxa" w:w="1750"/>
            <w:shd w:val="clear" w:color="auto" w:fill="0056B9"/>
            <w:vAlign w:val="center"/>
            <w:tcMar>
              <w:top w:w="50" w:type="dxa"/>
              <w:start w:w="60" w:type="dxa"/>
              <w:bottom w:w="50" w:type="dxa"/>
              <w:end w:w="60" w:type="dxa"/>
            </w:tcMar>
          </w:tcPr>
          <w:p>
            <w:pPr>
              <w:spacing w:after="0" w:line="240" w:lineRule="auto"/>
              <w:jc w:val="center"/>
            </w:pPr>
            <w:r>
              <w:rPr>
                <w:b/>
                <w:color w:val="FFFFFF"/>
                <w:sz w:val="16"/>
                <w:szCs w:val="16"/>
              </w:rPr>
              <w:t xml:space="preserve">Method</w:t>
            </w:r>
          </w:p>
        </w:tc>
        <w:tc>
          <w:tcPr>
            <w:tcW w:type="dxa" w:w="1834"/>
            <w:shd w:val="clear" w:color="auto" w:fill="0056B9"/>
            <w:vAlign w:val="center"/>
            <w:tcMar>
              <w:top w:w="50" w:type="dxa"/>
              <w:start w:w="60" w:type="dxa"/>
              <w:bottom w:w="50" w:type="dxa"/>
              <w:end w:w="60" w:type="dxa"/>
            </w:tcMar>
          </w:tcPr>
          <w:p>
            <w:pPr>
              <w:spacing w:after="0" w:line="240" w:lineRule="auto"/>
              <w:jc w:val="center"/>
            </w:pPr>
            <w:r>
              <w:rPr>
                <w:b/>
                <w:color w:val="FFFFFF"/>
                <w:sz w:val="16"/>
                <w:szCs w:val="16"/>
              </w:rPr>
              <w:t xml:space="preserve">Reported Result</w:t>
            </w:r>
          </w:p>
        </w:tc>
        <w:tc>
          <w:tcPr>
            <w:tcW w:type="dxa" w:w="1830"/>
            <w:shd w:val="clear" w:color="auto" w:fill="0056B9"/>
            <w:vAlign w:val="center"/>
            <w:tcMar>
              <w:top w:w="50" w:type="dxa"/>
              <w:start w:w="60" w:type="dxa"/>
              <w:bottom w:w="50" w:type="dxa"/>
              <w:end w:w="60" w:type="dxa"/>
            </w:tcMar>
          </w:tcPr>
          <w:p>
            <w:pPr>
              <w:spacing w:after="0" w:line="240" w:lineRule="auto"/>
              <w:jc w:val="center"/>
            </w:pPr>
            <w:r>
              <w:rPr>
                <w:b/>
                <w:color w:val="FFFFFF"/>
                <w:sz w:val="16"/>
                <w:szCs w:val="16"/>
              </w:rPr>
              <w:t xml:space="preserve">Limitation</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2020</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[4] Alatiah &amp; Chen - Recognizing Exercises and Counting Repetitions in Real Time</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25 recorded + YouTube CrossFit videos (custom, manually evaluated)</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OpenPose skeleton keypoints + deep learning classifier</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98.4% recognition; class-wise F1 ~0.97-0.99</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Small custom dataset; no public benchmark; pose tracker itself not evaluated</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2020</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[5] Dwibedi et al. - RepNet: Counting Out Time (Class Agnostic Video Repetition Counting in the Wild)</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Countix (in-the-wild video dataset)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Temporal self-similarity matrix + CNN</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Class-agnostic counting; no single fixed accuracy figure reported</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Struggles with occlusion/action interruption; not exercise-specific</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2021</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[6] Ferreira et al. - Deep Learning Approaches for Workout Repetition Counting and Validation</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Custom CrossFit video dataset (skeleton-based)</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2D pose estimation + deep semantic features</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Accuracy varies by exercise/camera angle</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Not fully public; camera-location sensitivity; per-exercise hyperparameters</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2021</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[7] Yu et al. - Deep Learning-Enabled Multitask System for Exercise Recognition and Counting</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Multitask video/sensor dataset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Multitask deep learning (recognition + counting)</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Jointly reported; no isolated single accuracy</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Trade-offs between recognition and counting accuracy</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2021</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[8] Khurana et al. - Viewpoint-Invariant Exercise Repetition Counting</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MM-Fit dataset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Skeleton similarity matrix (cosine similarity)</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Viewpoint-robust; no single headline accuracy</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Requires per-exercise hyperparameter tuning; inherits camera sensitivity</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2022</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[9] Hu et al. - TransRAC: Encoding Multi-scale Temporal Correlation with Transformers for Repetitive Action Counting (CVPR 2022 Oral)</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RepCount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Vision Transformer + density-map regression</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RepCount: MAE 0.443, OBO 0.291 (as tabulated in [1] and [2])</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Sensitive to action interruption/inconsistency; heavy transformer</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2023</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[10] Cheng et al. - Periodic Physical Activity Information Segmentation, Counting and Recognition from Video</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NOL-18 Exercise dataset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Segmentation + recognition pipeline</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96.27% segmentation accuracy; 99.06% action recognition</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Segmentation errors propagate to counting; limited exercise variety</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2023</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[11] Abedi et al. - Rehabilitation Exercise Repetition Segmentation and Counting using Skeletal Body Joints</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Rehabilitation exercise skeleton dataset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Skeleton joint-based segmentation model</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Per-exercise results; no single aggregate</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Designed for rehabilitation movements; limited gym generalization</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2023</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[12] Kim et al. - Human Pose Estimation Using MediaPipe Pose and Optimization Method Based on a Humanoid Model</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Custom pose dataset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Optimized MediaPipe + humanoid model</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Improved landmark accuracy vs. baseline MediaPipe</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Pose-estimation focus; not a complete exercise/repetition pipeline</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2024</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[13] Riccio - Real-Time Fitness Exercise Classification and Counting from Video Frames</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InfiniteRep synthetic + Kaggle workout/exercise video data + other online sources</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BiLSTM using joint angles + x,y,z coordinates; 30-frame sequences</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&gt;99% on the main test set; about 95% and 88% on two external test sets </w:t>
            </w:r>
            <w:r>
              <w:rPr>
                <w:color w:val="000000"/>
                <w:sz w:val="15"/>
                <w:szCs w:val="15"/>
                <w:highlight w:val="yellow"/>
              </w:rPr>
              <w:t xml:space="preserve">[TO CONFIRM: the research sheet lists 90% for the second set]</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Limited to 4 exercise types; performance drops on unseen/external data</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2024</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[14] Volschenk, Vadapalli &amp; van der Haar - Exercise Recognition and Repetition Counting for Automatic Workout Documentation Using Computer Vision</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InfiniteRep synthetic 3D-animated avatar dataset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MediaPipe pose estimation + LSTM and 1D time-distributed CNN</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LSTM 96%; CNN 97.3%</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Synthetic training data; sim-to-real gap</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2024</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[15] Japhne et al. - FitCam: Detecting and Counting Repetitive Exercises with Deep Learning</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Custom pose/video dataset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OpenPose + LSTM + MLP for HAR</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Improved accuracy vs. prior HAR baselines; no single headline %</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Camera/lighting sensitivity</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2024</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[16] Li &amp; Xu - Repetitive Action Counting with Motion Feature Learning (WACV 2024)</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RepCount / Countix</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Motion feature learning network</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Competitive MAE/OBO vs. TransRAC </w:t>
            </w:r>
            <w:r>
              <w:rPr>
                <w:color w:val="000000"/>
                <w:sz w:val="15"/>
                <w:szCs w:val="15"/>
                <w:highlight w:val="yellow"/>
              </w:rPr>
              <w:t xml:space="preserve">[add MAE/OBO from the original paper]</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Class-agnostic; not fitness-form-aware</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2024</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[17] IVAC-P2L - Leveraging Irregular Repetition Priors for Improving Video Action Counting</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RepCount, UCFRep</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Irregular repetition prior + transformer</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Outperforms TransRAC on MAE/OBO </w:t>
            </w:r>
            <w:r>
              <w:rPr>
                <w:color w:val="000000"/>
                <w:sz w:val="15"/>
                <w:szCs w:val="15"/>
                <w:highlight w:val="yellow"/>
              </w:rPr>
              <w:t xml:space="preserve">[add MAE/OBO from the original paper]</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Complex architecture; computationally heavy</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2024</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[18] JTSPS-Net - Joint-wise Temporal Self-Similarity Periodic Selection Network</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FitnessRep (2,110 fitness videos)</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Skeleton-based temporal self-similarity + impulse-map regression</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Improved over TransRAC on fine-grained counting </w:t>
            </w:r>
            <w:r>
              <w:rPr>
                <w:color w:val="000000"/>
                <w:sz w:val="15"/>
                <w:szCs w:val="15"/>
                <w:highlight w:val="yellow"/>
              </w:rPr>
              <w:t xml:space="preserve">[add MAE/OBO from the original paper]</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Higher model complexity</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2024</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[19] ACM ICAIPR - Fitness Action Counting Algorithm Based on Pose Estimation</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Custom gym-action video set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Optimized MediaPipe Pose + KNN classifier</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30 FPS inference; 99.5% counting accuracy</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Binary/rule-dependent counting logic; limited exercise diversity</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2025</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[20] Sinha, Stergiou &amp; Damen - Every Shot Counts: Using Exemplars for Repetition Counting in Videos</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RepCount + exemplar-based benchmark</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Exemplar-based counting network</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Improves generalization over RepNet/TransRAC </w:t>
            </w:r>
            <w:r>
              <w:rPr>
                <w:color w:val="000000"/>
                <w:sz w:val="15"/>
                <w:szCs w:val="15"/>
                <w:highlight w:val="yellow"/>
              </w:rPr>
              <w:t xml:space="preserve">[add MAE/OBO from the original paper]</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Requires exemplar shots as input</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2025</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[21] Computer Vision and Image Understanding - Pose Estimation Survey for Action Recognition (IoT context)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Multiple public pose datasets</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Comparative review of HPE backbones</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Comparative survey; no unified exercise-counting score</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Survey-level; no unified benchmark</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2025</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[22] PoseTracker - Accuracy Evaluation of AI-Based Mobile Application for Exercise Posture Feedback</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Custom reference movement dataset</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MediaPipe 33-landmark extraction + cosine similarity</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Evaluated posture-feedback accuracy</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Posture correction focus; cosine similarity sensitive to camera angle</w:t>
            </w:r>
          </w:p>
        </w:tc>
      </w:tr>
      <w:tr>
        <w:trPr>
          <w:cantSplit/>
        </w:trPr>
        <w:tc>
          <w:tcPr>
            <w:tcW w:type="dxa" w:w="560"/>
            <w:vAlign w:val="center"/>
            <w:tcMar>
              <w:top w:w="50" w:type="dxa"/>
              <w:start w:w="60" w:type="dxa"/>
              <w:bottom w:w="50" w:type="dxa"/>
              <w:end w:w="60" w:type="dxa"/>
            </w:tcMar>
          </w:tcPr>
          <w:p>
            <w:pPr>
              <w:spacing w:after="0" w:line="240" w:lineRule="auto"/>
              <w:jc w:val="left"/>
            </w:pPr>
            <w:r>
              <w:rPr>
                <w:color w:val="000000"/>
                <w:sz w:val="15"/>
                <w:szCs w:val="15"/>
              </w:rPr>
              <w:t xml:space="preserve">2026</w:t>
            </w:r>
          </w:p>
        </w:tc>
        <w:tc>
          <w:tcPr>
            <w:tcW w:type="dxa" w:w="2500"/>
            <w:vAlign w:val="center"/>
            <w:tcMar>
              <w:top w:w="50" w:type="dxa"/>
              <w:start w:w="60" w:type="dxa"/>
              <w:bottom w:w="50" w:type="dxa"/>
              <w:end w:w="60" w:type="dxa"/>
            </w:tcMar>
          </w:tcPr>
          <w:p>
            <w:pPr>
              <w:spacing w:after="0" w:line="240" w:lineRule="auto"/>
              <w:jc w:val="left"/>
            </w:pPr>
            <w:r>
              <w:rPr>
                <w:color w:val="000000"/>
                <w:sz w:val="15"/>
                <w:szCs w:val="15"/>
              </w:rPr>
              <w:t xml:space="preserve">[23] Movement Description Language (MDL) for Functional Training Exercise Analysis</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1,513 videos of 12 functional exercises</w:t>
            </w:r>
          </w:p>
        </w:tc>
        <w:tc>
          <w:tcPr>
            <w:tcW w:type="dxa" w:w="1750"/>
            <w:vAlign w:val="center"/>
            <w:tcMar>
              <w:top w:w="50" w:type="dxa"/>
              <w:start w:w="60" w:type="dxa"/>
              <w:bottom w:w="50" w:type="dxa"/>
              <w:end w:w="60" w:type="dxa"/>
            </w:tcMar>
          </w:tcPr>
          <w:p>
            <w:pPr>
              <w:spacing w:after="0" w:line="240" w:lineRule="auto"/>
              <w:jc w:val="left"/>
            </w:pPr>
            <w:r>
              <w:rPr>
                <w:color w:val="000000"/>
                <w:sz w:val="15"/>
                <w:szCs w:val="15"/>
              </w:rPr>
              <w:t xml:space="preserve">Finite-state machine over MediaPipe pose-derived joint-angle transitions</w:t>
            </w:r>
          </w:p>
        </w:tc>
        <w:tc>
          <w:tcPr>
            <w:tcW w:type="dxa" w:w="1834"/>
            <w:vAlign w:val="center"/>
            <w:tcMar>
              <w:top w:w="50" w:type="dxa"/>
              <w:start w:w="60" w:type="dxa"/>
              <w:bottom w:w="50" w:type="dxa"/>
              <w:end w:w="60" w:type="dxa"/>
            </w:tcMar>
          </w:tcPr>
          <w:p>
            <w:pPr>
              <w:spacing w:after="0" w:line="240" w:lineRule="auto"/>
              <w:jc w:val="left"/>
            </w:pPr>
            <w:r>
              <w:rPr>
                <w:color w:val="000000"/>
                <w:sz w:val="15"/>
                <w:szCs w:val="15"/>
              </w:rPr>
              <w:t xml:space="preserve">Benchmarked against deep models; reported per-exercise</w:t>
            </w:r>
          </w:p>
        </w:tc>
        <w:tc>
          <w:tcPr>
            <w:tcW w:type="dxa" w:w="1830"/>
            <w:vAlign w:val="center"/>
            <w:tcMar>
              <w:top w:w="50" w:type="dxa"/>
              <w:start w:w="60" w:type="dxa"/>
              <w:bottom w:w="50" w:type="dxa"/>
              <w:end w:w="60" w:type="dxa"/>
            </w:tcMar>
          </w:tcPr>
          <w:p>
            <w:pPr>
              <w:spacing w:after="0" w:line="240" w:lineRule="auto"/>
              <w:jc w:val="left"/>
            </w:pPr>
            <w:r>
              <w:rPr>
                <w:color w:val="000000"/>
                <w:sz w:val="15"/>
                <w:szCs w:val="15"/>
              </w:rPr>
              <w:t xml:space="preserve">Depends on hand-crafted angle-transition rules</w:t>
            </w:r>
          </w:p>
        </w:tc>
      </w:tr>
    </w:tbl>
    <w:p>
      <w:pPr>
        <w:spacing w:after="60"/>
      </w:pPr>
    </w:p>
    <w:p>
      <w:pPr>
        <w:pStyle w:val="Heading1"/>
      </w:pPr>
      <w:r>
        <w:t xml:space="preserve">2.5 Core Reference Papers for GymOptix</w:t>
      </w:r>
    </w:p>
    <w:p>
      <w:pPr>
        <w:spacing w:after="100" w:line="259" w:lineRule="auto"/>
      </w:pPr>
      <w:r>
        <w:t xml:space="preserve">Three studies are treated as core references because they align closely with the main research directions of GymOptix: pose-based repetitive action counting, LLM-based repetitive action counting and generalization, and explainable action form assessment. Each is summarized with the same structure: approach, dataset, metrics and results, limitations, and relevance to GymOptix.</w:t>
      </w:r>
    </w:p>
    <w:p>
      <w:pPr>
        <w:pStyle w:val="Heading2"/>
      </w:pPr>
      <w:r>
        <w:t xml:space="preserve">2.5.1 GMFL-Net [1]</w:t>
      </w:r>
    </w:p>
    <w:p>
      <w:pPr>
        <w:spacing w:after="100" w:line="259" w:lineRule="auto"/>
      </w:pPr>
      <w:r>
        <w:t xml:space="preserve">GMFL-Net: A Global Multi-geometric Feature Learning Network for Repetitive Action Counting was released in 2024 as an arXiv preprint by Jun Li, Jinying Wu, Qiming Li, and Feifei Guo </w:t>
      </w:r>
      <w:r>
        <w:rPr>
          <w:highlight w:val="yellow"/>
        </w:rPr>
        <w:t xml:space="preserve">[TO CONFIRM: check whether a peer-reviewed version exists]</w:t>
      </w:r>
      <w:r>
        <w:t xml:space="preserve">.</w:t>
      </w:r>
    </w:p>
    <w:p>
      <w:pPr>
        <w:spacing w:after="100" w:line="259" w:lineRule="auto"/>
      </w:pPr>
      <w:r>
        <w:rPr>
          <w:b/>
        </w:rPr>
        <w:t xml:space="preserve">Approach.</w:t>
      </w:r>
      <w:r>
        <w:t xml:space="preserve"> A pose-level counting method. BlazePose extracts 3D joint coordinates for each frame, and the MIA-Module adds inter-joint distances and angles and aggregates local context between neighboring joints. The GBFL-Module then learns global point-wise and channel-wise features, and a classification head scores the two salient poses of an action in every frame. A simple action-trigger module (RC-Module) adds one repetition each time the two salient poses are detected in turn.</w:t>
      </w:r>
    </w:p>
    <w:p>
      <w:pPr>
        <w:spacing w:after="100" w:line="259" w:lineRule="auto"/>
      </w:pPr>
      <w:r>
        <w:rPr>
          <w:b/>
        </w:rPr>
        <w:t xml:space="preserve">Dataset.</w:t>
      </w:r>
      <w:r>
        <w:t xml:space="preserve"> RepCount-pose (487 training and 151 test videos), UCFRep-pose (89 training and 21 test videos), and Countix-Fitness-pose, a dataset introduced by the authors with 553 videos from eight fitness classes selected from Countix and about 7,593 pose-level annotations. Training uses only the frames that show the two salient poses.</w:t>
      </w:r>
    </w:p>
    <w:p>
      <w:pPr>
        <w:spacing w:after="100" w:line="259" w:lineRule="auto"/>
      </w:pPr>
      <w:r>
        <w:rPr>
          <w:b/>
        </w:rPr>
        <w:t xml:space="preserve">Metrics and results.</w:t>
      </w:r>
      <w:r>
        <w:t xml:space="preserve"> MAE (normalized by the ground-truth count) and OBO. RepCount-pose: 0.216 / 0.586. UCFRep-pose: 0.259 / 0.650. Countix-Fitness-pose: 0.269 / 0.594. In the same tables, PoseRAC obtains 0.236 / 0.560, 0.312 / 0.452 and 0.387 / 0.497, and TransRAC obtains 0.443 / 0.291 on RepCount-pose.</w:t>
      </w:r>
    </w:p>
    <w:p>
      <w:pPr>
        <w:spacing w:after="100" w:line="259" w:lineRule="auto"/>
      </w:pPr>
      <w:r>
        <w:rPr>
          <w:b/>
        </w:rPr>
        <w:t xml:space="preserve">Limitations.</w:t>
      </w:r>
      <w:r>
        <w:t xml:space="preserve"> It only counts repetitions. Training needs salient-pose annotations, so it cannot be trained or compared on datasets that provide only count labels, and it depends on an external pose estimator. One of its three benchmarks is the authors' own dataset.</w:t>
      </w:r>
    </w:p>
    <w:p>
      <w:pPr>
        <w:spacing w:after="100" w:line="259" w:lineRule="auto"/>
      </w:pPr>
      <w:r>
        <w:rPr>
          <w:b/>
        </w:rPr>
        <w:t xml:space="preserve">Relevance to GymOptix.</w:t>
      </w:r>
      <w:r>
        <w:t xml:space="preserve"> It is the closest pose-based counting reference. RepCount and RepCount-pose share the same training and test videos, so evaluating GymOptix on the RepCount test split allows a like-for-like comparison (Section 5.X.1).</w:t>
      </w:r>
    </w:p>
    <w:p>
      <w:pPr>
        <w:pStyle w:val="Heading2"/>
      </w:pPr>
      <w:r>
        <w:t xml:space="preserve">2.5.2 CountLLM [2]</w:t>
      </w:r>
    </w:p>
    <w:p>
      <w:pPr>
        <w:spacing w:after="100" w:line="259" w:lineRule="auto"/>
      </w:pPr>
      <w:r>
        <w:t xml:space="preserve">CountLLM: Towards Generalizable Repetitive Action Counting via Large Language Model was published at CVPR 2025 by Ziyu Yao, Xuxin Cheng, Zhiqi Huang, and Lei Li.</w:t>
      </w:r>
    </w:p>
    <w:p>
      <w:pPr>
        <w:spacing w:after="100" w:line="259" w:lineRule="auto"/>
      </w:pPr>
      <w:r>
        <w:rPr>
          <w:b/>
        </w:rPr>
        <w:t xml:space="preserve">Approach.</w:t>
      </w:r>
      <w:r>
        <w:t xml:space="preserve"> Repetitive action counting is formulated as video question answering. A video encoder (Video Swin Transformer or VideoMAE) feeds a periodicity transformer with learnable periodicity queries, a linear projector maps its output to tokens, and a Vicuna-7B language model with LoRA adaptation produces the count from a structured periodicity prompt and a fixed answer format. Training has three stages: alignment with video captions, alignment with periodicity descriptions, and instruction tuning.</w:t>
      </w:r>
    </w:p>
    <w:p>
      <w:pPr>
        <w:spacing w:after="100" w:line="259" w:lineRule="auto"/>
      </w:pPr>
      <w:r>
        <w:rPr>
          <w:b/>
        </w:rPr>
        <w:t xml:space="preserve">Dataset.</w:t>
      </w:r>
      <w:r>
        <w:t xml:space="preserve"> RepCount, UCFRep, and the full Countix dataset. Results on RepCount and Countix are reported on the test sets, while UCFRep results are reported on the validation set. A separate cross-dataset protocol trains on RepCount and tests on UCFRep and Countix.</w:t>
      </w:r>
    </w:p>
    <w:p>
      <w:pPr>
        <w:spacing w:after="100" w:line="259" w:lineRule="auto"/>
      </w:pPr>
      <w:r>
        <w:rPr>
          <w:b/>
        </w:rPr>
        <w:t xml:space="preserve">Metrics and results.</w:t>
      </w:r>
      <w:r>
        <w:t xml:space="preserve"> With the VideoMAE encoder: RepCount 0.162 / 0.639, UCFRep 0.116 / 0.839, Countix 0.215 / 0.801 (MAE / OBO). With the Video Swin encoder: 0.209 / 0.552, 0.153 / 0.802 and 0.246 / 0.706. Cross-dataset: RepCount to UCFRep 0.139 / 0.816, and RepCount to Countix 0.281 / 0.730.</w:t>
      </w:r>
    </w:p>
    <w:p>
      <w:pPr>
        <w:spacing w:after="100" w:line="259" w:lineRule="auto"/>
      </w:pPr>
      <w:r>
        <w:rPr>
          <w:b/>
        </w:rPr>
        <w:t xml:space="preserve">Limitations.</w:t>
      </w:r>
      <w:r>
        <w:t xml:space="preserve"> It works on RGB video and counts only. The authors acknowledge that the language model demands substantial GPU resources. UCFRep is evaluated on the validation set, which limits how it can be compared with other studies.</w:t>
      </w:r>
    </w:p>
    <w:p>
      <w:pPr>
        <w:spacing w:after="100" w:line="259" w:lineRule="auto"/>
      </w:pPr>
      <w:r>
        <w:rPr>
          <w:b/>
        </w:rPr>
        <w:t xml:space="preserve">Relevance to GymOptix.</w:t>
      </w:r>
      <w:r>
        <w:t xml:space="preserve"> It is the modern reference for counting and cross-dataset generalization. Its numbers are comparable to GymOptix only on the same benchmark and metrics, and its cross-dataset protocol is a useful template for testing GymOptix generalization.</w:t>
      </w:r>
    </w:p>
    <w:p>
      <w:pPr>
        <w:pStyle w:val="Heading2"/>
      </w:pPr>
      <w:r>
        <w:t xml:space="preserve">2.5.3 Explainable Action Form Assessment (CoT-AFA) [3]</w:t>
      </w:r>
    </w:p>
    <w:p>
      <w:pPr>
        <w:spacing w:after="100" w:line="259" w:lineRule="auto"/>
      </w:pPr>
      <w:r>
        <w:t xml:space="preserve">Explainable Action Form Assessment by Exploiting Multimodal Chain-of-Thoughts Reasoning was published in IEEE Transactions on Image Processing in 2026 (arXiv preprint, December 2025) by Mengshi Qi, Yeteng Wu, Wulian Yun, Xianlin Zhang, and Huadong Ma.</w:t>
      </w:r>
    </w:p>
    <w:p>
      <w:pPr>
        <w:spacing w:after="100" w:line="259" w:lineRule="auto"/>
      </w:pPr>
      <w:r>
        <w:rPr>
          <w:b/>
        </w:rPr>
        <w:t xml:space="preserve">Approach.</w:t>
      </w:r>
      <w:r>
        <w:t xml:space="preserve"> The paper defines the Action Form Assessment (AFA) task: deciding whether an action follows an objective standard and explaining why. Its Explainable Fitness Assessor (EFA) encodes video with Video Swin and the predefined standard technical steps of each action (five steps plus a general instruction) with BERT. Global-Aware and Step-Aware fusion modules with bidirectional attention are combined by a hierarchical fusion layer with dynamic gating. Three heads predict the action class, a binary quality label, and a chain-of-thought explanation.</w:t>
      </w:r>
    </w:p>
    <w:p>
      <w:pPr>
        <w:spacing w:after="100" w:line="259" w:lineRule="auto"/>
      </w:pPr>
      <w:r>
        <w:rPr>
          <w:b/>
        </w:rPr>
        <w:t xml:space="preserve">Dataset.</w:t>
      </w:r>
      <w:r>
        <w:t xml:space="preserve"> CoT-AFA: 3,392 videos (2,242 standard and 1,150 non-standard), 141 action categories in 28 workout types, and 364,812 frames. Videos come from YouTube plus clips recorded by the authors to show common form errors. Explanations were generated with language models and reviewed by human experts. The split is 70/15/15 (training/test/validation), and six frames are sampled per video.</w:t>
      </w:r>
    </w:p>
    <w:p>
      <w:pPr>
        <w:spacing w:after="100" w:line="259" w:lineRule="auto"/>
      </w:pPr>
      <w:r>
        <w:rPr>
          <w:b/>
        </w:rPr>
        <w:t xml:space="preserve">Metrics and results.</w:t>
      </w:r>
      <w:r>
        <w:t xml:space="preserve"> Top-1 accuracy of 77.2% for 141-class action classification, 81.8% accuracy for binary form assessment (standard vs. non-standard), and CIDEr 33.3 for explanation generation. The gains quoted in the abstract (+2.7%, +2.1%, +16.0%) are relative to the compared baselines: 0.772 vs. 0.752 (Video Swin), 0.818 vs. 0.801 (Video Swin), and 33.3 vs. 28.7 (LAVENDER). RICA² reaches 0.814 on the binary task.</w:t>
      </w:r>
    </w:p>
    <w:p>
      <w:pPr>
        <w:spacing w:after="100" w:line="259" w:lineRule="auto"/>
      </w:pPr>
      <w:r>
        <w:rPr>
          <w:b/>
        </w:rPr>
        <w:t xml:space="preserve">Limitations.</w:t>
      </w:r>
      <w:r>
        <w:t xml:space="preserve"> EFA needs the class-specific standard steps as text input. Autoregressive decoding gives about 0.35 s latency per six-frame sample, which the authors describe as suitable for action-level rather than frame-level feedback. It works on RGB video, part of the non-standard data was recorded by the authors, and its 141-class recognition task is not comparable with a small set of supported exercises.</w:t>
      </w:r>
    </w:p>
    <w:p>
      <w:pPr>
        <w:spacing w:after="100" w:line="259" w:lineRule="auto"/>
      </w:pPr>
      <w:r>
        <w:rPr>
          <w:b/>
        </w:rPr>
        <w:t xml:space="preserve">Relevance to GymOptix.</w:t>
      </w:r>
      <w:r>
        <w:t xml:space="preserve"> It is the closest reference for the form-assessment and explainable-feedback part of GymOptix, and it provides a public benchmark for the binary standard/non-standard task.</w:t>
      </w:r>
    </w:p>
    <w:p>
      <w:pPr>
        <w:pStyle w:val="Heading1"/>
      </w:pPr>
      <w:r>
        <w:t xml:space="preserve">2.6 Research Gap</w:t>
      </w:r>
    </w:p>
    <w:p>
      <w:pPr>
        <w:spacing w:after="100" w:line="259" w:lineRule="auto"/>
      </w:pPr>
      <w:r>
        <w:t xml:space="preserve">The reviewed literature shows strong progress in each sub-task of AI-based fitness analysis, but three recurring limitations define the space that GymOptix targets.</w:t>
      </w:r>
    </w:p>
    <w:p>
      <w:pPr>
        <w:pStyle w:val="ListBullet"/>
        <w:spacing w:after="40"/>
      </w:pPr>
      <w:r>
        <w:rPr>
          <w:b/>
        </w:rPr>
        <w:t xml:space="preserve">The strongest recent methods address a single task.</w:t>
      </w:r>
      <w:r>
        <w:t xml:space="preserve"> GMFL-Net [1] and CountLLM [2] only count repetitions, and CoT-AFA [3] only assesses form. Studies in the research sheet that combine tasks ([4], [6], [7], [10], [13]) report results mostly on custom or limited-variety datasets; for example, [13] covers four exercises and [10] is noted for limited exercise variety.</w:t>
      </w:r>
    </w:p>
    <w:p>
      <w:pPr>
        <w:pStyle w:val="ListBullet"/>
        <w:spacing w:after="40"/>
      </w:pPr>
      <w:r>
        <w:rPr>
          <w:b/>
        </w:rPr>
        <w:t xml:space="preserve">The best-performing methods are costly to run or to annotate.</w:t>
      </w:r>
      <w:r>
        <w:t xml:space="preserve"> CountLLM [2] needs substantial GPU resources, EFA [3] needs about 0.35 s per six-frame sample, and GMFL-Net [1] needs salient-pose annotations for training. The research sheet notes similar complexity for [9], [17], and [18].</w:t>
      </w:r>
    </w:p>
    <w:p>
      <w:pPr>
        <w:pStyle w:val="ListBullet"/>
        <w:spacing w:after="40"/>
      </w:pPr>
      <w:r>
        <w:rPr>
          <w:b/>
        </w:rPr>
        <w:t xml:space="preserve">Results are hard to compare and generalize unevenly.</w:t>
      </w:r>
      <w:r>
        <w:t xml:space="preserve"> Studies use different datasets, metrics, and protocols, and the study that tests on external data reports a drop from over 99% to roughly 88-95% ([13]).</w:t>
      </w:r>
    </w:p>
    <w:p>
      <w:pPr>
        <w:spacing w:after="100" w:line="259" w:lineRule="auto"/>
      </w:pPr>
      <w:r>
        <w:t xml:space="preserve">GymOptix addresses these limitations by </w:t>
      </w:r>
      <w:r>
        <w:rPr>
          <w:highlight w:val="yellow"/>
        </w:rPr>
        <w:t xml:space="preserve">[TO CONFIRM: keep only the points GymOptix will demonstrate]</w:t>
      </w:r>
      <w:r>
        <w:t xml:space="preserve">: (i) combining exercise recognition, repetition counting, and form assessment in one camera-based pipeline; (ii) </w:t>
      </w:r>
      <w:r>
        <w:rPr>
          <w:highlight w:val="yellow"/>
        </w:rPr>
        <w:t xml:space="preserve">[describe the efficiency goal, e.g. real-time operation on the target device]</w:t>
      </w:r>
      <w:r>
        <w:t xml:space="preserve">; and (iii) evaluating counting on RepCount and form assessment on CoT-AFA, so that its results can be compared with [1]-[3] under identical protocols (Section 5.X.1).</w:t>
      </w:r>
    </w:p>
    <w:p>
      <w:pPr>
        <w:pStyle w:val="Heading1"/>
      </w:pPr>
      <w:r>
        <w:t xml:space="preserve">5.X Comparison with Previous Studies</w:t>
      </w:r>
    </w:p>
    <w:p>
      <w:pPr>
        <w:spacing w:after="100" w:line="259" w:lineRule="auto"/>
      </w:pPr>
      <w:r>
        <w:t xml:space="preserve">This section is designed to be completed after the GymOptix experiments. The comparison follows a strict rule: numerical claims of improvement are made only when the benchmark, task definition, evaluation metric, and evaluation protocol are sufficiently compatible.</w:t>
      </w:r>
    </w:p>
    <w:p>
      <w:pPr>
        <w:pStyle w:val="ListBullet"/>
        <w:spacing w:after="40"/>
      </w:pPr>
      <w:r>
        <w:t xml:space="preserve">Same benchmark + same metric: direct numerical comparison is appropriate.</w:t>
      </w:r>
    </w:p>
    <w:p>
      <w:pPr>
        <w:pStyle w:val="ListBullet"/>
        <w:spacing w:after="40"/>
      </w:pPr>
      <w:r>
        <w:t xml:space="preserve">Different benchmark or metric: report the previous result as related evidence, not as a direct performance comparison.</w:t>
      </w:r>
    </w:p>
    <w:p>
      <w:pPr>
        <w:pStyle w:val="ListBullet"/>
        <w:spacing w:after="40"/>
      </w:pPr>
      <w:r>
        <w:t xml:space="preserve">Different task: do not compare the numbers even if the task names look similar.</w:t>
      </w:r>
    </w:p>
    <w:p>
      <w:pPr>
        <w:pStyle w:val="Heading2"/>
      </w:pPr>
      <w:r>
        <w:t xml:space="preserve">5.X.1 Evaluation Protocol and Benchmark Plan</w:t>
      </w:r>
    </w:p>
    <w:p>
      <w:pPr>
        <w:spacing w:after="100" w:line="259" w:lineRule="auto"/>
      </w:pPr>
      <w:r>
        <w:rPr>
          <w:highlight w:val="yellow"/>
        </w:rPr>
        <w:t xml:space="preserve">[TO CONFIRM: benchmark choices below]</w:t>
      </w:r>
      <w:r>
        <w:t xml:space="preserve"> </w:t>
      </w:r>
      <w:r>
        <w:rPr>
          <w:b/>
        </w:rPr>
        <w:t xml:space="preserve">Repetition counting:</w:t>
      </w:r>
      <w:r>
        <w:t xml:space="preserve"> GymOptix is evaluated on the RepCount test split (151 videos) with MAE and OBO. Because RepCount and RepCount-pose share the same training and test videos [1], this allows a like-for-like comparison with GMFL-Net [1] and CountLLM [2] on the same videos, provided GymOptix is trained on the RepCount training split only and uses the same metric definitions:</w:t>
      </w:r>
    </w:p>
    <w:p>
      <w:pPr>
        <w:spacing w:after="80"/>
        <w:jc w:val="center"/>
      </w:pPr>
      <w:r>
        <w:rPr>
          <w:rFonts w:ascii="Cambria Math" w:hAnsi="Cambria Math"/>
        </w:rPr>
        <w:t xml:space="preserve">MAE = (1/N) Σ | ĉ</w:t>
      </w:r>
      <w:r>
        <w:rPr>
          <w:rFonts w:ascii="Cambria Math" w:hAnsi="Cambria Math"/>
          <w:vertAlign w:val="subscript"/>
        </w:rPr>
        <w:t xml:space="preserve">i</w:t>
      </w:r>
      <w:r>
        <w:rPr>
          <w:rFonts w:ascii="Cambria Math" w:hAnsi="Cambria Math"/>
        </w:rPr>
        <w:t xml:space="preserve"> − c</w:t>
      </w:r>
      <w:r>
        <w:rPr>
          <w:rFonts w:ascii="Cambria Math" w:hAnsi="Cambria Math"/>
          <w:vertAlign w:val="subscript"/>
        </w:rPr>
        <w:t xml:space="preserve">i</w:t>
      </w:r>
      <w:r>
        <w:rPr>
          <w:rFonts w:ascii="Cambria Math" w:hAnsi="Cambria Math"/>
        </w:rPr>
        <w:t xml:space="preserve"> | / ĉ</w:t>
      </w:r>
      <w:r>
        <w:rPr>
          <w:rFonts w:ascii="Cambria Math" w:hAnsi="Cambria Math"/>
          <w:vertAlign w:val="subscript"/>
        </w:rPr>
        <w:t xml:space="preserve">i</w:t>
      </w:r>
      <w:r>
        <w:rPr>
          <w:rFonts w:ascii="Cambria Math" w:hAnsi="Cambria Math"/>
        </w:rPr>
        <w:t xml:space="preserve">        OBO = (1/N) Σ [ | ĉ</w:t>
      </w:r>
      <w:r>
        <w:rPr>
          <w:rFonts w:ascii="Cambria Math" w:hAnsi="Cambria Math"/>
          <w:vertAlign w:val="subscript"/>
        </w:rPr>
        <w:t xml:space="preserve">i</w:t>
      </w:r>
      <w:r>
        <w:rPr>
          <w:rFonts w:ascii="Cambria Math" w:hAnsi="Cambria Math"/>
        </w:rPr>
        <w:t xml:space="preserve"> − c</w:t>
      </w:r>
      <w:r>
        <w:rPr>
          <w:rFonts w:ascii="Cambria Math" w:hAnsi="Cambria Math"/>
          <w:vertAlign w:val="subscript"/>
        </w:rPr>
        <w:t xml:space="preserve">i</w:t>
      </w:r>
      <w:r>
        <w:rPr>
          <w:rFonts w:ascii="Cambria Math" w:hAnsi="Cambria Math"/>
        </w:rPr>
        <w:t xml:space="preserve"> | ≤ 1 ]</w:t>
      </w:r>
    </w:p>
    <w:p>
      <w:pPr>
        <w:spacing w:after="100" w:line="259" w:lineRule="auto"/>
      </w:pPr>
      <w:r>
        <w:t xml:space="preserve">where ĉ is the ground-truth count, c is the predicted count of video i, and N is the number of test videos; MAE is normalized by the ground-truth count in [1] and [2].</w:t>
      </w:r>
    </w:p>
    <w:p>
      <w:pPr>
        <w:spacing w:after="100" w:line="259" w:lineRule="auto"/>
      </w:pPr>
      <w:r>
        <w:rPr>
          <w:b/>
        </w:rPr>
        <w:t xml:space="preserve">Form assessment:</w:t>
      </w:r>
      <w:r>
        <w:t xml:space="preserve"> GymOptix is evaluated on the CoT-AFA binary standard/non-standard task using the authors' official split </w:t>
      </w:r>
      <w:r>
        <w:rPr>
          <w:highlight w:val="yellow"/>
        </w:rPr>
        <w:t xml:space="preserve">[TO CONFIRM: obtain the split from the dataset repository of [3]]</w:t>
      </w:r>
      <w:r>
        <w:t xml:space="preserve">. If GymOptix supports only a subset of the 141 classes, the evaluation is restricted to that subset and reported as related evidence, not as a comparison with 81.8%.</w:t>
      </w:r>
    </w:p>
    <w:p>
      <w:pPr>
        <w:spacing w:after="100" w:line="259" w:lineRule="auto"/>
      </w:pPr>
      <w:r>
        <w:rPr>
          <w:b/>
        </w:rPr>
        <w:t xml:space="preserve">Exercise recognition:</w:t>
      </w:r>
      <w:r>
        <w:t xml:space="preserve"> none of the three core papers reports a small-set gym exercise recognition benchmark, so GymOptix recognition results are reported on its own evaluation data unless the CoT-AFA classes are used.</w:t>
      </w:r>
    </w:p>
    <w:p>
      <w:pPr>
        <w:spacing w:after="100" w:line="259" w:lineRule="auto"/>
      </w:pPr>
      <w:r>
        <w:rPr>
          <w:b/>
        </w:rPr>
        <w:t xml:space="preserve">Datasets that must not be compared:</w:t>
      </w:r>
      <w:r>
        <w:t xml:space="preserve"> the Countix results of CountLLM [2] use the full Countix dataset, whereas GMFL-Net [1] uses Countix-Fitness-pose, a different, smaller dataset with pose-level annotations.</w:t>
      </w:r>
    </w:p>
    <w:p>
      <w:pPr>
        <w:pStyle w:val="Heading2"/>
      </w:pPr>
      <w:r>
        <w:t xml:space="preserve">5.X.2 Repetition Counting</w:t>
      </w:r>
    </w:p>
    <w:p>
      <w:pPr>
        <w:keepNext/>
        <w:spacing w:after="60" w:line="259" w:lineRule="auto"/>
      </w:pPr>
      <w:r>
        <w:rPr>
          <w:b/>
        </w:rPr>
        <w:t xml:space="preserve">Table 5.X-1:</w:t>
      </w:r>
      <w:r>
        <w:t xml:space="preserve"> Repetition counting on RepCount (MAE lower is better, OBO higher is better)</w:t>
      </w:r>
    </w:p>
    <w:tbl>
      <w:tblPr>
        <w:tblW w:type="dxa" w:w="10224"/>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2300"/>
        <w:gridCol w:w="1500"/>
        <w:gridCol w:w="2100"/>
        <w:gridCol w:w="800"/>
        <w:gridCol w:w="800"/>
        <w:gridCol w:w="2724"/>
      </w:tblGrid>
      <w:tr>
        <w:trPr>
          <w:cantSplit/>
          <w:tblHeader/>
        </w:trPr>
        <w:tc>
          <w:tcPr>
            <w:tcW w:type="dxa" w:w="23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Method</w:t>
            </w:r>
          </w:p>
        </w:tc>
        <w:tc>
          <w:tcPr>
            <w:tcW w:type="dxa" w:w="15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Input level</w:t>
            </w:r>
          </w:p>
        </w:tc>
        <w:tc>
          <w:tcPr>
            <w:tcW w:type="dxa" w:w="21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Dataset</w:t>
            </w:r>
          </w:p>
        </w:tc>
        <w:tc>
          <w:tcPr>
            <w:tcW w:type="dxa" w:w="8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MAE</w:t>
            </w:r>
          </w:p>
        </w:tc>
        <w:tc>
          <w:tcPr>
            <w:tcW w:type="dxa" w:w="8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OBO</w:t>
            </w:r>
          </w:p>
        </w:tc>
        <w:tc>
          <w:tcPr>
            <w:tcW w:type="dxa" w:w="2724"/>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Directly comparable?</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TransRAC [9]</w:t>
            </w:r>
          </w:p>
        </w:tc>
        <w:tc>
          <w:tcPr>
            <w:tcW w:type="dxa" w:w="1500"/>
            <w:vAlign w:val="center"/>
            <w:tcMar>
              <w:top w:w="50" w:type="dxa"/>
              <w:start w:w="60" w:type="dxa"/>
              <w:bottom w:w="50" w:type="dxa"/>
              <w:end w:w="60" w:type="dxa"/>
            </w:tcMar>
          </w:tcPr>
          <w:p>
            <w:pPr>
              <w:keepNext/>
              <w:spacing w:after="0" w:line="240" w:lineRule="auto"/>
              <w:jc w:val="left"/>
            </w:pPr>
            <w:r>
              <w:rPr>
                <w:color w:val="000000"/>
                <w:sz w:val="15"/>
                <w:szCs w:val="15"/>
              </w:rPr>
              <w:t xml:space="preserve">Video</w:t>
            </w:r>
          </w:p>
        </w:tc>
        <w:tc>
          <w:tcPr>
            <w:tcW w:type="dxa" w:w="2100"/>
            <w:vAlign w:val="center"/>
            <w:tcMar>
              <w:top w:w="50" w:type="dxa"/>
              <w:start w:w="60" w:type="dxa"/>
              <w:bottom w:w="50" w:type="dxa"/>
              <w:end w:w="60" w:type="dxa"/>
            </w:tcMar>
          </w:tcPr>
          <w:p>
            <w:pPr>
              <w:keepNext/>
              <w:spacing w:after="0" w:line="240" w:lineRule="auto"/>
              <w:jc w:val="left"/>
            </w:pPr>
            <w:r>
              <w:rPr>
                <w:color w:val="000000"/>
                <w:sz w:val="15"/>
                <w:szCs w:val="15"/>
              </w:rPr>
              <w:t xml:space="preserve">RepCount</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0.443</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0.291</w:t>
            </w:r>
          </w:p>
        </w:tc>
        <w:tc>
          <w:tcPr>
            <w:tcW w:type="dxa" w:w="2724"/>
            <w:vAlign w:val="center"/>
            <w:tcMar>
              <w:top w:w="50" w:type="dxa"/>
              <w:start w:w="60" w:type="dxa"/>
              <w:bottom w:w="50" w:type="dxa"/>
              <w:end w:w="60" w:type="dxa"/>
            </w:tcMar>
          </w:tcPr>
          <w:p>
            <w:pPr>
              <w:keepNext/>
              <w:spacing w:after="0" w:line="240" w:lineRule="auto"/>
              <w:jc w:val="left"/>
            </w:pPr>
            <w:r>
              <w:rPr>
                <w:color w:val="000000"/>
                <w:sz w:val="15"/>
                <w:szCs w:val="15"/>
              </w:rPr>
              <w:t xml:space="preserve">Yes, if GymOptix is evaluated on RepCount with the same metrics (values as tabulated in [1] and [2])</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PoseRAC [24]</w:t>
            </w:r>
          </w:p>
        </w:tc>
        <w:tc>
          <w:tcPr>
            <w:tcW w:type="dxa" w:w="1500"/>
            <w:vAlign w:val="center"/>
            <w:tcMar>
              <w:top w:w="50" w:type="dxa"/>
              <w:start w:w="60" w:type="dxa"/>
              <w:bottom w:w="50" w:type="dxa"/>
              <w:end w:w="60" w:type="dxa"/>
            </w:tcMar>
          </w:tcPr>
          <w:p>
            <w:pPr>
              <w:keepNext/>
              <w:spacing w:after="0" w:line="240" w:lineRule="auto"/>
              <w:jc w:val="left"/>
            </w:pPr>
            <w:r>
              <w:rPr>
                <w:color w:val="000000"/>
                <w:sz w:val="15"/>
                <w:szCs w:val="15"/>
              </w:rPr>
              <w:t xml:space="preserve">Pose</w:t>
            </w:r>
          </w:p>
        </w:tc>
        <w:tc>
          <w:tcPr>
            <w:tcW w:type="dxa" w:w="2100"/>
            <w:vAlign w:val="center"/>
            <w:tcMar>
              <w:top w:w="50" w:type="dxa"/>
              <w:start w:w="60" w:type="dxa"/>
              <w:bottom w:w="50" w:type="dxa"/>
              <w:end w:w="60" w:type="dxa"/>
            </w:tcMar>
          </w:tcPr>
          <w:p>
            <w:pPr>
              <w:keepNext/>
              <w:spacing w:after="0" w:line="240" w:lineRule="auto"/>
              <w:jc w:val="left"/>
            </w:pPr>
            <w:r>
              <w:rPr>
                <w:color w:val="000000"/>
                <w:sz w:val="15"/>
                <w:szCs w:val="15"/>
              </w:rPr>
              <w:t xml:space="preserve">RepCount-pose</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0.236</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0.560</w:t>
            </w:r>
          </w:p>
        </w:tc>
        <w:tc>
          <w:tcPr>
            <w:tcW w:type="dxa" w:w="2724"/>
            <w:vAlign w:val="center"/>
            <w:tcMar>
              <w:top w:w="50" w:type="dxa"/>
              <w:start w:w="60" w:type="dxa"/>
              <w:bottom w:w="50" w:type="dxa"/>
              <w:end w:w="60" w:type="dxa"/>
            </w:tcMar>
          </w:tcPr>
          <w:p>
            <w:pPr>
              <w:keepNext/>
              <w:spacing w:after="0" w:line="240" w:lineRule="auto"/>
              <w:jc w:val="left"/>
            </w:pPr>
            <w:r>
              <w:rPr>
                <w:color w:val="000000"/>
                <w:sz w:val="15"/>
                <w:szCs w:val="15"/>
              </w:rPr>
              <w:t xml:space="preserve">Yes, with the same RepCount-pose annotations (values as tabulated in [1])</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Joint-based PoseRAC [25]</w:t>
            </w:r>
          </w:p>
        </w:tc>
        <w:tc>
          <w:tcPr>
            <w:tcW w:type="dxa" w:w="1500"/>
            <w:vAlign w:val="center"/>
            <w:tcMar>
              <w:top w:w="50" w:type="dxa"/>
              <w:start w:w="60" w:type="dxa"/>
              <w:bottom w:w="50" w:type="dxa"/>
              <w:end w:w="60" w:type="dxa"/>
            </w:tcMar>
          </w:tcPr>
          <w:p>
            <w:pPr>
              <w:keepNext/>
              <w:spacing w:after="0" w:line="240" w:lineRule="auto"/>
              <w:jc w:val="left"/>
            </w:pPr>
            <w:r>
              <w:rPr>
                <w:color w:val="000000"/>
                <w:sz w:val="15"/>
                <w:szCs w:val="15"/>
              </w:rPr>
              <w:t xml:space="preserve">Pose</w:t>
            </w:r>
          </w:p>
        </w:tc>
        <w:tc>
          <w:tcPr>
            <w:tcW w:type="dxa" w:w="2100"/>
            <w:vAlign w:val="center"/>
            <w:tcMar>
              <w:top w:w="50" w:type="dxa"/>
              <w:start w:w="60" w:type="dxa"/>
              <w:bottom w:w="50" w:type="dxa"/>
              <w:end w:w="60" w:type="dxa"/>
            </w:tcMar>
          </w:tcPr>
          <w:p>
            <w:pPr>
              <w:keepNext/>
              <w:spacing w:after="0" w:line="240" w:lineRule="auto"/>
              <w:jc w:val="left"/>
            </w:pPr>
            <w:r>
              <w:rPr>
                <w:color w:val="000000"/>
                <w:sz w:val="15"/>
                <w:szCs w:val="15"/>
              </w:rPr>
              <w:t xml:space="preserve">RepCount</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0.211</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0.599</w:t>
            </w:r>
          </w:p>
        </w:tc>
        <w:tc>
          <w:tcPr>
            <w:tcW w:type="dxa" w:w="2724"/>
            <w:vAlign w:val="center"/>
            <w:tcMar>
              <w:top w:w="50" w:type="dxa"/>
              <w:start w:w="60" w:type="dxa"/>
              <w:bottom w:w="50" w:type="dxa"/>
              <w:end w:w="60" w:type="dxa"/>
            </w:tcMar>
          </w:tcPr>
          <w:p>
            <w:pPr>
              <w:keepNext/>
              <w:spacing w:after="0" w:line="240" w:lineRule="auto"/>
              <w:jc w:val="left"/>
            </w:pPr>
            <w:r>
              <w:rPr>
                <w:color w:val="000000"/>
                <w:sz w:val="15"/>
                <w:szCs w:val="15"/>
                <w:highlight w:val="yellow"/>
              </w:rPr>
              <w:t xml:space="preserve">[TO CONFIRM: check that it uses the same split and annotations as [24]]</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GMFL-Net [1]</w:t>
            </w:r>
          </w:p>
        </w:tc>
        <w:tc>
          <w:tcPr>
            <w:tcW w:type="dxa" w:w="1500"/>
            <w:vAlign w:val="center"/>
            <w:tcMar>
              <w:top w:w="50" w:type="dxa"/>
              <w:start w:w="60" w:type="dxa"/>
              <w:bottom w:w="50" w:type="dxa"/>
              <w:end w:w="60" w:type="dxa"/>
            </w:tcMar>
          </w:tcPr>
          <w:p>
            <w:pPr>
              <w:keepNext/>
              <w:spacing w:after="0" w:line="240" w:lineRule="auto"/>
              <w:jc w:val="left"/>
            </w:pPr>
            <w:r>
              <w:rPr>
                <w:color w:val="000000"/>
                <w:sz w:val="15"/>
                <w:szCs w:val="15"/>
              </w:rPr>
              <w:t xml:space="preserve">Pose</w:t>
            </w:r>
          </w:p>
        </w:tc>
        <w:tc>
          <w:tcPr>
            <w:tcW w:type="dxa" w:w="2100"/>
            <w:vAlign w:val="center"/>
            <w:tcMar>
              <w:top w:w="50" w:type="dxa"/>
              <w:start w:w="60" w:type="dxa"/>
              <w:bottom w:w="50" w:type="dxa"/>
              <w:end w:w="60" w:type="dxa"/>
            </w:tcMar>
          </w:tcPr>
          <w:p>
            <w:pPr>
              <w:keepNext/>
              <w:spacing w:after="0" w:line="240" w:lineRule="auto"/>
              <w:jc w:val="left"/>
            </w:pPr>
            <w:r>
              <w:rPr>
                <w:color w:val="000000"/>
                <w:sz w:val="15"/>
                <w:szCs w:val="15"/>
              </w:rPr>
              <w:t xml:space="preserve">RepCount-pose</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0.216</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0.586</w:t>
            </w:r>
          </w:p>
        </w:tc>
        <w:tc>
          <w:tcPr>
            <w:tcW w:type="dxa" w:w="2724"/>
            <w:vAlign w:val="center"/>
            <w:tcMar>
              <w:top w:w="50" w:type="dxa"/>
              <w:start w:w="60" w:type="dxa"/>
              <w:bottom w:w="50" w:type="dxa"/>
              <w:end w:w="60" w:type="dxa"/>
            </w:tcMar>
          </w:tcPr>
          <w:p>
            <w:pPr>
              <w:keepNext/>
              <w:spacing w:after="0" w:line="240" w:lineRule="auto"/>
              <w:jc w:val="left"/>
            </w:pPr>
            <w:r>
              <w:rPr>
                <w:color w:val="000000"/>
                <w:sz w:val="15"/>
                <w:szCs w:val="15"/>
              </w:rPr>
              <w:t xml:space="preserve">Yes, same protocol as above</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CountLLM [2] (Video Swin)</w:t>
            </w:r>
          </w:p>
        </w:tc>
        <w:tc>
          <w:tcPr>
            <w:tcW w:type="dxa" w:w="1500"/>
            <w:vAlign w:val="center"/>
            <w:tcMar>
              <w:top w:w="50" w:type="dxa"/>
              <w:start w:w="60" w:type="dxa"/>
              <w:bottom w:w="50" w:type="dxa"/>
              <w:end w:w="60" w:type="dxa"/>
            </w:tcMar>
          </w:tcPr>
          <w:p>
            <w:pPr>
              <w:keepNext/>
              <w:spacing w:after="0" w:line="240" w:lineRule="auto"/>
              <w:jc w:val="left"/>
            </w:pPr>
            <w:r>
              <w:rPr>
                <w:color w:val="000000"/>
                <w:sz w:val="15"/>
                <w:szCs w:val="15"/>
              </w:rPr>
              <w:t xml:space="preserve">Video + LLM</w:t>
            </w:r>
          </w:p>
        </w:tc>
        <w:tc>
          <w:tcPr>
            <w:tcW w:type="dxa" w:w="2100"/>
            <w:vAlign w:val="center"/>
            <w:tcMar>
              <w:top w:w="50" w:type="dxa"/>
              <w:start w:w="60" w:type="dxa"/>
              <w:bottom w:w="50" w:type="dxa"/>
              <w:end w:w="60" w:type="dxa"/>
            </w:tcMar>
          </w:tcPr>
          <w:p>
            <w:pPr>
              <w:keepNext/>
              <w:spacing w:after="0" w:line="240" w:lineRule="auto"/>
              <w:jc w:val="left"/>
            </w:pPr>
            <w:r>
              <w:rPr>
                <w:color w:val="000000"/>
                <w:sz w:val="15"/>
                <w:szCs w:val="15"/>
              </w:rPr>
              <w:t xml:space="preserve">RepCount</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0.209</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0.552</w:t>
            </w:r>
          </w:p>
        </w:tc>
        <w:tc>
          <w:tcPr>
            <w:tcW w:type="dxa" w:w="2724"/>
            <w:vAlign w:val="center"/>
            <w:tcMar>
              <w:top w:w="50" w:type="dxa"/>
              <w:start w:w="60" w:type="dxa"/>
              <w:bottom w:w="50" w:type="dxa"/>
              <w:end w:w="60" w:type="dxa"/>
            </w:tcMar>
          </w:tcPr>
          <w:p>
            <w:pPr>
              <w:keepNext/>
              <w:spacing w:after="0" w:line="240" w:lineRule="auto"/>
              <w:jc w:val="left"/>
            </w:pPr>
            <w:r>
              <w:rPr>
                <w:color w:val="000000"/>
                <w:sz w:val="15"/>
                <w:szCs w:val="15"/>
              </w:rPr>
              <w:t xml:space="preserve">Yes, on the RepCount test set</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CountLLM [2] (VideoMAE)</w:t>
            </w:r>
          </w:p>
        </w:tc>
        <w:tc>
          <w:tcPr>
            <w:tcW w:type="dxa" w:w="1500"/>
            <w:vAlign w:val="center"/>
            <w:tcMar>
              <w:top w:w="50" w:type="dxa"/>
              <w:start w:w="60" w:type="dxa"/>
              <w:bottom w:w="50" w:type="dxa"/>
              <w:end w:w="60" w:type="dxa"/>
            </w:tcMar>
          </w:tcPr>
          <w:p>
            <w:pPr>
              <w:keepNext/>
              <w:spacing w:after="0" w:line="240" w:lineRule="auto"/>
              <w:jc w:val="left"/>
            </w:pPr>
            <w:r>
              <w:rPr>
                <w:color w:val="000000"/>
                <w:sz w:val="15"/>
                <w:szCs w:val="15"/>
              </w:rPr>
              <w:t xml:space="preserve">Video + LLM</w:t>
            </w:r>
          </w:p>
        </w:tc>
        <w:tc>
          <w:tcPr>
            <w:tcW w:type="dxa" w:w="2100"/>
            <w:vAlign w:val="center"/>
            <w:tcMar>
              <w:top w:w="50" w:type="dxa"/>
              <w:start w:w="60" w:type="dxa"/>
              <w:bottom w:w="50" w:type="dxa"/>
              <w:end w:w="60" w:type="dxa"/>
            </w:tcMar>
          </w:tcPr>
          <w:p>
            <w:pPr>
              <w:keepNext/>
              <w:spacing w:after="0" w:line="240" w:lineRule="auto"/>
              <w:jc w:val="left"/>
            </w:pPr>
            <w:r>
              <w:rPr>
                <w:color w:val="000000"/>
                <w:sz w:val="15"/>
                <w:szCs w:val="15"/>
              </w:rPr>
              <w:t xml:space="preserve">RepCount</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0.162</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0.639</w:t>
            </w:r>
          </w:p>
        </w:tc>
        <w:tc>
          <w:tcPr>
            <w:tcW w:type="dxa" w:w="2724"/>
            <w:vAlign w:val="center"/>
            <w:tcMar>
              <w:top w:w="50" w:type="dxa"/>
              <w:start w:w="60" w:type="dxa"/>
              <w:bottom w:w="50" w:type="dxa"/>
              <w:end w:w="60" w:type="dxa"/>
            </w:tcMar>
          </w:tcPr>
          <w:p>
            <w:pPr>
              <w:keepNext/>
              <w:spacing w:after="0" w:line="240" w:lineRule="auto"/>
              <w:jc w:val="left"/>
            </w:pPr>
            <w:r>
              <w:rPr>
                <w:color w:val="000000"/>
                <w:sz w:val="15"/>
                <w:szCs w:val="15"/>
              </w:rPr>
              <w:t xml:space="preserve">Yes, on the RepCount test set</w:t>
            </w:r>
          </w:p>
        </w:tc>
      </w:tr>
      <w:tr>
        <w:trPr>
          <w:cantSplit/>
        </w:trPr>
        <w:tc>
          <w:tcPr>
            <w:tcW w:type="dxa" w:w="23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GymOptix (proposed)</w:t>
            </w:r>
          </w:p>
        </w:tc>
        <w:tc>
          <w:tcPr>
            <w:tcW w:type="dxa" w:w="15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c>
          <w:tcPr>
            <w:tcW w:type="dxa" w:w="21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c>
          <w:tcPr>
            <w:tcW w:type="dxa" w:w="8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c>
          <w:tcPr>
            <w:tcW w:type="dxa" w:w="8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c>
          <w:tcPr>
            <w:tcW w:type="dxa" w:w="2724"/>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r>
    </w:tbl>
    <w:p>
      <w:pPr>
        <w:spacing w:after="60"/>
      </w:pPr>
    </w:p>
    <w:p>
      <w:pPr>
        <w:keepNext/>
        <w:spacing w:after="60" w:line="259" w:lineRule="auto"/>
      </w:pPr>
      <w:r>
        <w:rPr>
          <w:b/>
        </w:rPr>
        <w:t xml:space="preserve">Table 5.X-2:</w:t>
      </w:r>
      <w:r>
        <w:t xml:space="preserve"> Other counting benchmarks reported by the core papers</w:t>
      </w:r>
    </w:p>
    <w:tbl>
      <w:tblPr>
        <w:tblW w:type="dxa" w:w="10224"/>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2300"/>
        <w:gridCol w:w="2300"/>
        <w:gridCol w:w="800"/>
        <w:gridCol w:w="800"/>
        <w:gridCol w:w="4024"/>
      </w:tblGrid>
      <w:tr>
        <w:trPr>
          <w:cantSplit/>
          <w:tblHeader/>
        </w:trPr>
        <w:tc>
          <w:tcPr>
            <w:tcW w:type="dxa" w:w="23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Dataset</w:t>
            </w:r>
          </w:p>
        </w:tc>
        <w:tc>
          <w:tcPr>
            <w:tcW w:type="dxa" w:w="23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Method</w:t>
            </w:r>
          </w:p>
        </w:tc>
        <w:tc>
          <w:tcPr>
            <w:tcW w:type="dxa" w:w="8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MAE</w:t>
            </w:r>
          </w:p>
        </w:tc>
        <w:tc>
          <w:tcPr>
            <w:tcW w:type="dxa" w:w="8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OBO</w:t>
            </w:r>
          </w:p>
        </w:tc>
        <w:tc>
          <w:tcPr>
            <w:tcW w:type="dxa" w:w="4024"/>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Note</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UCFRep-pose</w:t>
            </w:r>
          </w:p>
        </w:tc>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TransRAC [9]</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0.581</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0.329</w:t>
            </w:r>
          </w:p>
        </w:tc>
        <w:tc>
          <w:tcPr>
            <w:tcW w:type="dxa" w:w="4024"/>
            <w:vAlign w:val="center"/>
            <w:tcMar>
              <w:top w:w="50" w:type="dxa"/>
              <w:start w:w="60" w:type="dxa"/>
              <w:bottom w:w="50" w:type="dxa"/>
              <w:end w:w="60" w:type="dxa"/>
            </w:tcMar>
          </w:tcPr>
          <w:p>
            <w:pPr>
              <w:keepNext/>
              <w:spacing w:after="0" w:line="240" w:lineRule="auto"/>
              <w:jc w:val="left"/>
            </w:pPr>
            <w:r>
              <w:rPr>
                <w:color w:val="000000"/>
                <w:sz w:val="15"/>
                <w:szCs w:val="15"/>
              </w:rPr>
              <w:t xml:space="preserve">Values as tabulated in [1]</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UCFRep-pose</w:t>
            </w:r>
          </w:p>
        </w:tc>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PoseRAC [24]</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0.312</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0.452</w:t>
            </w:r>
          </w:p>
        </w:tc>
        <w:tc>
          <w:tcPr>
            <w:tcW w:type="dxa" w:w="4024"/>
            <w:vAlign w:val="center"/>
            <w:tcMar>
              <w:top w:w="50" w:type="dxa"/>
              <w:start w:w="60" w:type="dxa"/>
              <w:bottom w:w="50" w:type="dxa"/>
              <w:end w:w="60" w:type="dxa"/>
            </w:tcMar>
          </w:tcPr>
          <w:p>
            <w:pPr>
              <w:keepNext/>
              <w:spacing w:after="0" w:line="240" w:lineRule="auto"/>
              <w:jc w:val="left"/>
            </w:pPr>
            <w:r>
              <w:rPr>
                <w:color w:val="000000"/>
                <w:sz w:val="15"/>
                <w:szCs w:val="15"/>
              </w:rPr>
              <w:t xml:space="preserve">Values as tabulated in [1]</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UCFRep-pose</w:t>
            </w:r>
          </w:p>
        </w:tc>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GMFL-Net [1]</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0.259</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0.650</w:t>
            </w:r>
          </w:p>
        </w:tc>
        <w:tc>
          <w:tcPr>
            <w:tcW w:type="dxa" w:w="4024"/>
            <w:vAlign w:val="center"/>
            <w:tcMar>
              <w:top w:w="50" w:type="dxa"/>
              <w:start w:w="60" w:type="dxa"/>
              <w:bottom w:w="50" w:type="dxa"/>
              <w:end w:w="60" w:type="dxa"/>
            </w:tcMar>
          </w:tcPr>
          <w:p>
            <w:pPr>
              <w:keepNext/>
              <w:spacing w:after="0" w:line="240" w:lineRule="auto"/>
              <w:jc w:val="left"/>
            </w:pPr>
            <w:r>
              <w:rPr>
                <w:color w:val="000000"/>
                <w:sz w:val="15"/>
                <w:szCs w:val="15"/>
              </w:rPr>
              <w:t xml:space="preserve">21 test videos</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UCFRep</w:t>
            </w:r>
          </w:p>
        </w:tc>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CountLLM [2] (VideoMAE)</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0.116</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0.839</w:t>
            </w:r>
          </w:p>
        </w:tc>
        <w:tc>
          <w:tcPr>
            <w:tcW w:type="dxa" w:w="4024"/>
            <w:vAlign w:val="center"/>
            <w:tcMar>
              <w:top w:w="50" w:type="dxa"/>
              <w:start w:w="60" w:type="dxa"/>
              <w:bottom w:w="50" w:type="dxa"/>
              <w:end w:w="60" w:type="dxa"/>
            </w:tcMar>
          </w:tcPr>
          <w:p>
            <w:pPr>
              <w:keepNext/>
              <w:spacing w:after="0" w:line="240" w:lineRule="auto"/>
              <w:jc w:val="left"/>
            </w:pPr>
            <w:r>
              <w:rPr>
                <w:color w:val="000000"/>
                <w:sz w:val="15"/>
                <w:szCs w:val="15"/>
              </w:rPr>
              <w:t xml:space="preserve">Reported on the validation set; not the same protocol as UCFRep-pose</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Countix-Fitness-pose</w:t>
            </w:r>
          </w:p>
        </w:tc>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TransRAC [9]</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0.478</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0.283</w:t>
            </w:r>
          </w:p>
        </w:tc>
        <w:tc>
          <w:tcPr>
            <w:tcW w:type="dxa" w:w="4024"/>
            <w:vAlign w:val="center"/>
            <w:tcMar>
              <w:top w:w="50" w:type="dxa"/>
              <w:start w:w="60" w:type="dxa"/>
              <w:bottom w:w="50" w:type="dxa"/>
              <w:end w:w="60" w:type="dxa"/>
            </w:tcMar>
          </w:tcPr>
          <w:p>
            <w:pPr>
              <w:keepNext/>
              <w:spacing w:after="0" w:line="240" w:lineRule="auto"/>
              <w:jc w:val="left"/>
            </w:pPr>
            <w:r>
              <w:rPr>
                <w:color w:val="000000"/>
                <w:sz w:val="15"/>
                <w:szCs w:val="15"/>
              </w:rPr>
              <w:t xml:space="preserve">Authors' dataset in [1]; values as tabulated in [1]</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Countix-Fitness-pose</w:t>
            </w:r>
          </w:p>
        </w:tc>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PoseRAC [24]</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0.387</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0.497</w:t>
            </w:r>
          </w:p>
        </w:tc>
        <w:tc>
          <w:tcPr>
            <w:tcW w:type="dxa" w:w="4024"/>
            <w:vAlign w:val="center"/>
            <w:tcMar>
              <w:top w:w="50" w:type="dxa"/>
              <w:start w:w="60" w:type="dxa"/>
              <w:bottom w:w="50" w:type="dxa"/>
              <w:end w:w="60" w:type="dxa"/>
            </w:tcMar>
          </w:tcPr>
          <w:p>
            <w:pPr>
              <w:keepNext/>
              <w:spacing w:after="0" w:line="240" w:lineRule="auto"/>
              <w:jc w:val="left"/>
            </w:pPr>
            <w:r>
              <w:rPr>
                <w:color w:val="000000"/>
                <w:sz w:val="15"/>
                <w:szCs w:val="15"/>
              </w:rPr>
              <w:t xml:space="preserve">Values as tabulated in [1]</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Countix-Fitness-pose</w:t>
            </w:r>
          </w:p>
        </w:tc>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GMFL-Net [1]</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0.269</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0.594</w:t>
            </w:r>
          </w:p>
        </w:tc>
        <w:tc>
          <w:tcPr>
            <w:tcW w:type="dxa" w:w="4024"/>
            <w:vAlign w:val="center"/>
            <w:tcMar>
              <w:top w:w="50" w:type="dxa"/>
              <w:start w:w="60" w:type="dxa"/>
              <w:bottom w:w="50" w:type="dxa"/>
              <w:end w:w="60" w:type="dxa"/>
            </w:tcMar>
          </w:tcPr>
          <w:p>
            <w:pPr>
              <w:keepNext/>
              <w:spacing w:after="0" w:line="240" w:lineRule="auto"/>
              <w:jc w:val="left"/>
            </w:pPr>
            <w:r>
              <w:rPr>
                <w:color w:val="000000"/>
                <w:sz w:val="15"/>
                <w:szCs w:val="15"/>
              </w:rPr>
              <w:t xml:space="preserve">Authors' dataset in [1]</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Countix (full)</w:t>
            </w:r>
          </w:p>
        </w:tc>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CountLLM [2] (VideoMAE)</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0.215</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0.801</w:t>
            </w:r>
          </w:p>
        </w:tc>
        <w:tc>
          <w:tcPr>
            <w:tcW w:type="dxa" w:w="4024"/>
            <w:vAlign w:val="center"/>
            <w:tcMar>
              <w:top w:w="50" w:type="dxa"/>
              <w:start w:w="60" w:type="dxa"/>
              <w:bottom w:w="50" w:type="dxa"/>
              <w:end w:w="60" w:type="dxa"/>
            </w:tcMar>
          </w:tcPr>
          <w:p>
            <w:pPr>
              <w:keepNext/>
              <w:spacing w:after="0" w:line="240" w:lineRule="auto"/>
              <w:jc w:val="left"/>
            </w:pPr>
            <w:r>
              <w:rPr>
                <w:color w:val="000000"/>
                <w:sz w:val="15"/>
                <w:szCs w:val="15"/>
              </w:rPr>
              <w:t xml:space="preserve">Different dataset from Countix-Fitness-pose; do not compare with [1]</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RepCount to UCFRep</w:t>
            </w:r>
          </w:p>
        </w:tc>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CountLLM [2]</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0.139</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0.816</w:t>
            </w:r>
          </w:p>
        </w:tc>
        <w:tc>
          <w:tcPr>
            <w:tcW w:type="dxa" w:w="4024"/>
            <w:vAlign w:val="center"/>
            <w:tcMar>
              <w:top w:w="50" w:type="dxa"/>
              <w:start w:w="60" w:type="dxa"/>
              <w:bottom w:w="50" w:type="dxa"/>
              <w:end w:w="60" w:type="dxa"/>
            </w:tcMar>
          </w:tcPr>
          <w:p>
            <w:pPr>
              <w:keepNext/>
              <w:spacing w:after="0" w:line="240" w:lineRule="auto"/>
              <w:jc w:val="left"/>
            </w:pPr>
            <w:r>
              <w:rPr>
                <w:color w:val="000000"/>
                <w:sz w:val="15"/>
                <w:szCs w:val="15"/>
              </w:rPr>
              <w:t xml:space="preserve">Cross-dataset: trained on RepCount, tested on UCFRep</w:t>
            </w:r>
          </w:p>
        </w:tc>
      </w:tr>
      <w:tr>
        <w:trPr>
          <w:cantSplit/>
        </w:trPr>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RepCount to Countix</w:t>
            </w:r>
          </w:p>
        </w:tc>
        <w:tc>
          <w:tcPr>
            <w:tcW w:type="dxa" w:w="2300"/>
            <w:vAlign w:val="center"/>
            <w:tcMar>
              <w:top w:w="50" w:type="dxa"/>
              <w:start w:w="60" w:type="dxa"/>
              <w:bottom w:w="50" w:type="dxa"/>
              <w:end w:w="60" w:type="dxa"/>
            </w:tcMar>
          </w:tcPr>
          <w:p>
            <w:pPr>
              <w:keepNext/>
              <w:spacing w:after="0" w:line="240" w:lineRule="auto"/>
              <w:jc w:val="left"/>
            </w:pPr>
            <w:r>
              <w:rPr>
                <w:color w:val="000000"/>
                <w:sz w:val="15"/>
                <w:szCs w:val="15"/>
              </w:rPr>
              <w:t xml:space="preserve">CountLLM [2]</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0.281</w:t>
            </w:r>
          </w:p>
        </w:tc>
        <w:tc>
          <w:tcPr>
            <w:tcW w:type="dxa" w:w="800"/>
            <w:vAlign w:val="center"/>
            <w:tcMar>
              <w:top w:w="50" w:type="dxa"/>
              <w:start w:w="60" w:type="dxa"/>
              <w:bottom w:w="50" w:type="dxa"/>
              <w:end w:w="60" w:type="dxa"/>
            </w:tcMar>
          </w:tcPr>
          <w:p>
            <w:pPr>
              <w:keepNext/>
              <w:spacing w:after="0" w:line="240" w:lineRule="auto"/>
              <w:jc w:val="left"/>
            </w:pPr>
            <w:r>
              <w:rPr>
                <w:color w:val="000000"/>
                <w:sz w:val="15"/>
                <w:szCs w:val="15"/>
              </w:rPr>
              <w:t xml:space="preserve">0.730</w:t>
            </w:r>
          </w:p>
        </w:tc>
        <w:tc>
          <w:tcPr>
            <w:tcW w:type="dxa" w:w="4024"/>
            <w:vAlign w:val="center"/>
            <w:tcMar>
              <w:top w:w="50" w:type="dxa"/>
              <w:start w:w="60" w:type="dxa"/>
              <w:bottom w:w="50" w:type="dxa"/>
              <w:end w:w="60" w:type="dxa"/>
            </w:tcMar>
          </w:tcPr>
          <w:p>
            <w:pPr>
              <w:keepNext/>
              <w:spacing w:after="0" w:line="240" w:lineRule="auto"/>
              <w:jc w:val="left"/>
            </w:pPr>
            <w:r>
              <w:rPr>
                <w:color w:val="000000"/>
                <w:sz w:val="15"/>
                <w:szCs w:val="15"/>
              </w:rPr>
              <w:t xml:space="preserve">Cross-dataset: trained on RepCount, tested on Countix</w:t>
            </w:r>
          </w:p>
        </w:tc>
      </w:tr>
      <w:tr>
        <w:trPr>
          <w:cantSplit/>
        </w:trPr>
        <w:tc>
          <w:tcPr>
            <w:tcW w:type="dxa" w:w="23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GymOptix (proposed)</w:t>
            </w:r>
          </w:p>
        </w:tc>
        <w:tc>
          <w:tcPr>
            <w:tcW w:type="dxa" w:w="23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c>
          <w:tcPr>
            <w:tcW w:type="dxa" w:w="8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c>
          <w:tcPr>
            <w:tcW w:type="dxa" w:w="8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c>
          <w:tcPr>
            <w:tcW w:type="dxa" w:w="4024"/>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r>
    </w:tbl>
    <w:p>
      <w:pPr>
        <w:spacing w:after="100" w:line="259" w:lineRule="auto"/>
      </w:pPr>
      <w:r>
        <w:rPr>
          <w:i/>
          <w:sz w:val="17"/>
          <w:szCs w:val="17"/>
        </w:rPr>
        <w:t xml:space="preserve">Studies [4], [13], and [19] report counting or recognition on custom datasets and are not included in these tables.</w:t>
      </w:r>
    </w:p>
    <w:p>
      <w:pPr>
        <w:pStyle w:val="Heading2"/>
      </w:pPr>
      <w:r>
        <w:t xml:space="preserve">5.X.3 Action Form Assessment and Explainability</w:t>
      </w:r>
    </w:p>
    <w:p>
      <w:pPr>
        <w:keepNext/>
        <w:spacing w:after="60" w:line="259" w:lineRule="auto"/>
      </w:pPr>
      <w:r>
        <w:rPr>
          <w:b/>
        </w:rPr>
        <w:t xml:space="preserve">Table 5.X-3:</w:t>
      </w:r>
      <w:r>
        <w:t xml:space="preserve"> Form assessment and explanation results of EFA on CoT-AFA</w:t>
      </w:r>
    </w:p>
    <w:tbl>
      <w:tblPr>
        <w:tblW w:type="dxa" w:w="10224"/>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1800"/>
        <w:gridCol w:w="2200"/>
        <w:gridCol w:w="1200"/>
        <w:gridCol w:w="1000"/>
        <w:gridCol w:w="1900"/>
        <w:gridCol w:w="2124"/>
      </w:tblGrid>
      <w:tr>
        <w:trPr>
          <w:cantSplit/>
          <w:tblHeader/>
        </w:trPr>
        <w:tc>
          <w:tcPr>
            <w:tcW w:type="dxa" w:w="18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Method</w:t>
            </w:r>
          </w:p>
        </w:tc>
        <w:tc>
          <w:tcPr>
            <w:tcW w:type="dxa" w:w="22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Task</w:t>
            </w:r>
          </w:p>
        </w:tc>
        <w:tc>
          <w:tcPr>
            <w:tcW w:type="dxa" w:w="12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Metric</w:t>
            </w:r>
          </w:p>
        </w:tc>
        <w:tc>
          <w:tcPr>
            <w:tcW w:type="dxa" w:w="10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Result</w:t>
            </w:r>
          </w:p>
        </w:tc>
        <w:tc>
          <w:tcPr>
            <w:tcW w:type="dxa" w:w="1900"/>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Strongest baselines in [3]</w:t>
            </w:r>
          </w:p>
        </w:tc>
        <w:tc>
          <w:tcPr>
            <w:tcW w:type="dxa" w:w="2124"/>
            <w:shd w:val="clear" w:color="auto" w:fill="0056B9"/>
            <w:vAlign w:val="center"/>
            <w:tcMar>
              <w:top w:w="50" w:type="dxa"/>
              <w:start w:w="60" w:type="dxa"/>
              <w:bottom w:w="50" w:type="dxa"/>
              <w:end w:w="60" w:type="dxa"/>
            </w:tcMar>
          </w:tcPr>
          <w:p>
            <w:pPr>
              <w:keepNext/>
              <w:spacing w:after="0" w:line="240" w:lineRule="auto"/>
              <w:jc w:val="center"/>
            </w:pPr>
            <w:r>
              <w:rPr>
                <w:b/>
                <w:color w:val="FFFFFF"/>
                <w:sz w:val="16"/>
                <w:szCs w:val="16"/>
              </w:rPr>
              <w:t xml:space="preserve">Directly comparable?</w:t>
            </w:r>
          </w:p>
        </w:tc>
      </w:tr>
      <w:tr>
        <w:trPr>
          <w:cantSplit/>
        </w:trPr>
        <w:tc>
          <w:tcPr>
            <w:tcW w:type="dxa" w:w="1800"/>
            <w:vAlign w:val="center"/>
            <w:tcMar>
              <w:top w:w="50" w:type="dxa"/>
              <w:start w:w="60" w:type="dxa"/>
              <w:bottom w:w="50" w:type="dxa"/>
              <w:end w:w="60" w:type="dxa"/>
            </w:tcMar>
          </w:tcPr>
          <w:p>
            <w:pPr>
              <w:keepNext/>
              <w:spacing w:after="0" w:line="240" w:lineRule="auto"/>
              <w:jc w:val="left"/>
            </w:pPr>
            <w:r>
              <w:rPr>
                <w:color w:val="000000"/>
                <w:sz w:val="15"/>
                <w:szCs w:val="15"/>
              </w:rPr>
              <w:t xml:space="preserve">EFA [3]</w:t>
            </w:r>
          </w:p>
        </w:tc>
        <w:tc>
          <w:tcPr>
            <w:tcW w:type="dxa" w:w="2200"/>
            <w:vAlign w:val="center"/>
            <w:tcMar>
              <w:top w:w="50" w:type="dxa"/>
              <w:start w:w="60" w:type="dxa"/>
              <w:bottom w:w="50" w:type="dxa"/>
              <w:end w:w="60" w:type="dxa"/>
            </w:tcMar>
          </w:tcPr>
          <w:p>
            <w:pPr>
              <w:keepNext/>
              <w:spacing w:after="0" w:line="240" w:lineRule="auto"/>
              <w:jc w:val="left"/>
            </w:pPr>
            <w:r>
              <w:rPr>
                <w:color w:val="000000"/>
                <w:sz w:val="15"/>
                <w:szCs w:val="15"/>
              </w:rPr>
              <w:t xml:space="preserve">141-class action classification</w:t>
            </w:r>
          </w:p>
        </w:tc>
        <w:tc>
          <w:tcPr>
            <w:tcW w:type="dxa" w:w="1200"/>
            <w:vAlign w:val="center"/>
            <w:tcMar>
              <w:top w:w="50" w:type="dxa"/>
              <w:start w:w="60" w:type="dxa"/>
              <w:bottom w:w="50" w:type="dxa"/>
              <w:end w:w="60" w:type="dxa"/>
            </w:tcMar>
          </w:tcPr>
          <w:p>
            <w:pPr>
              <w:keepNext/>
              <w:spacing w:after="0" w:line="240" w:lineRule="auto"/>
              <w:jc w:val="left"/>
            </w:pPr>
            <w:r>
              <w:rPr>
                <w:color w:val="000000"/>
                <w:sz w:val="15"/>
                <w:szCs w:val="15"/>
              </w:rPr>
              <w:t xml:space="preserve">Top-1 accuracy</w:t>
            </w:r>
          </w:p>
        </w:tc>
        <w:tc>
          <w:tcPr>
            <w:tcW w:type="dxa" w:w="1000"/>
            <w:vAlign w:val="center"/>
            <w:tcMar>
              <w:top w:w="50" w:type="dxa"/>
              <w:start w:w="60" w:type="dxa"/>
              <w:bottom w:w="50" w:type="dxa"/>
              <w:end w:w="60" w:type="dxa"/>
            </w:tcMar>
          </w:tcPr>
          <w:p>
            <w:pPr>
              <w:keepNext/>
              <w:spacing w:after="0" w:line="240" w:lineRule="auto"/>
              <w:jc w:val="left"/>
            </w:pPr>
            <w:r>
              <w:rPr>
                <w:color w:val="000000"/>
                <w:sz w:val="15"/>
                <w:szCs w:val="15"/>
              </w:rPr>
              <w:t xml:space="preserve">77.2%</w:t>
            </w:r>
          </w:p>
        </w:tc>
        <w:tc>
          <w:tcPr>
            <w:tcW w:type="dxa" w:w="1900"/>
            <w:vAlign w:val="center"/>
            <w:tcMar>
              <w:top w:w="50" w:type="dxa"/>
              <w:start w:w="60" w:type="dxa"/>
              <w:bottom w:w="50" w:type="dxa"/>
              <w:end w:w="60" w:type="dxa"/>
            </w:tcMar>
          </w:tcPr>
          <w:p>
            <w:pPr>
              <w:keepNext/>
              <w:spacing w:after="0" w:line="240" w:lineRule="auto"/>
              <w:jc w:val="left"/>
            </w:pPr>
            <w:r>
              <w:rPr>
                <w:color w:val="000000"/>
                <w:sz w:val="15"/>
                <w:szCs w:val="15"/>
              </w:rPr>
              <w:t xml:space="preserve">Video Swin: 75.2%</w:t>
            </w:r>
          </w:p>
        </w:tc>
        <w:tc>
          <w:tcPr>
            <w:tcW w:type="dxa" w:w="2124"/>
            <w:vAlign w:val="center"/>
            <w:tcMar>
              <w:top w:w="50" w:type="dxa"/>
              <w:start w:w="60" w:type="dxa"/>
              <w:bottom w:w="50" w:type="dxa"/>
              <w:end w:w="60" w:type="dxa"/>
            </w:tcMar>
          </w:tcPr>
          <w:p>
            <w:pPr>
              <w:keepNext/>
              <w:spacing w:after="0" w:line="240" w:lineRule="auto"/>
              <w:jc w:val="left"/>
            </w:pPr>
            <w:r>
              <w:rPr>
                <w:color w:val="000000"/>
                <w:sz w:val="15"/>
                <w:szCs w:val="15"/>
              </w:rPr>
              <w:t xml:space="preserve">Only if GymOptix uses the same classes and split</w:t>
            </w:r>
          </w:p>
        </w:tc>
      </w:tr>
      <w:tr>
        <w:trPr>
          <w:cantSplit/>
        </w:trPr>
        <w:tc>
          <w:tcPr>
            <w:tcW w:type="dxa" w:w="1800"/>
            <w:vAlign w:val="center"/>
            <w:tcMar>
              <w:top w:w="50" w:type="dxa"/>
              <w:start w:w="60" w:type="dxa"/>
              <w:bottom w:w="50" w:type="dxa"/>
              <w:end w:w="60" w:type="dxa"/>
            </w:tcMar>
          </w:tcPr>
          <w:p>
            <w:pPr>
              <w:keepNext/>
              <w:spacing w:after="0" w:line="240" w:lineRule="auto"/>
              <w:jc w:val="left"/>
            </w:pPr>
            <w:r>
              <w:rPr>
                <w:color w:val="000000"/>
                <w:sz w:val="15"/>
                <w:szCs w:val="15"/>
              </w:rPr>
              <w:t xml:space="preserve">EFA [3]</w:t>
            </w:r>
          </w:p>
        </w:tc>
        <w:tc>
          <w:tcPr>
            <w:tcW w:type="dxa" w:w="2200"/>
            <w:vAlign w:val="center"/>
            <w:tcMar>
              <w:top w:w="50" w:type="dxa"/>
              <w:start w:w="60" w:type="dxa"/>
              <w:bottom w:w="50" w:type="dxa"/>
              <w:end w:w="60" w:type="dxa"/>
            </w:tcMar>
          </w:tcPr>
          <w:p>
            <w:pPr>
              <w:keepNext/>
              <w:spacing w:after="0" w:line="240" w:lineRule="auto"/>
              <w:jc w:val="left"/>
            </w:pPr>
            <w:r>
              <w:rPr>
                <w:color w:val="000000"/>
                <w:sz w:val="15"/>
                <w:szCs w:val="15"/>
              </w:rPr>
              <w:t xml:space="preserve">Binary form assessment (standard / non-standard)</w:t>
            </w:r>
          </w:p>
        </w:tc>
        <w:tc>
          <w:tcPr>
            <w:tcW w:type="dxa" w:w="1200"/>
            <w:vAlign w:val="center"/>
            <w:tcMar>
              <w:top w:w="50" w:type="dxa"/>
              <w:start w:w="60" w:type="dxa"/>
              <w:bottom w:w="50" w:type="dxa"/>
              <w:end w:w="60" w:type="dxa"/>
            </w:tcMar>
          </w:tcPr>
          <w:p>
            <w:pPr>
              <w:keepNext/>
              <w:spacing w:after="0" w:line="240" w:lineRule="auto"/>
              <w:jc w:val="left"/>
            </w:pPr>
            <w:r>
              <w:rPr>
                <w:color w:val="000000"/>
                <w:sz w:val="15"/>
                <w:szCs w:val="15"/>
              </w:rPr>
              <w:t xml:space="preserve">Accuracy</w:t>
            </w:r>
          </w:p>
        </w:tc>
        <w:tc>
          <w:tcPr>
            <w:tcW w:type="dxa" w:w="1000"/>
            <w:vAlign w:val="center"/>
            <w:tcMar>
              <w:top w:w="50" w:type="dxa"/>
              <w:start w:w="60" w:type="dxa"/>
              <w:bottom w:w="50" w:type="dxa"/>
              <w:end w:w="60" w:type="dxa"/>
            </w:tcMar>
          </w:tcPr>
          <w:p>
            <w:pPr>
              <w:keepNext/>
              <w:spacing w:after="0" w:line="240" w:lineRule="auto"/>
              <w:jc w:val="left"/>
            </w:pPr>
            <w:r>
              <w:rPr>
                <w:color w:val="000000"/>
                <w:sz w:val="15"/>
                <w:szCs w:val="15"/>
              </w:rPr>
              <w:t xml:space="preserve">81.8%</w:t>
            </w:r>
          </w:p>
        </w:tc>
        <w:tc>
          <w:tcPr>
            <w:tcW w:type="dxa" w:w="1900"/>
            <w:vAlign w:val="center"/>
            <w:tcMar>
              <w:top w:w="50" w:type="dxa"/>
              <w:start w:w="60" w:type="dxa"/>
              <w:bottom w:w="50" w:type="dxa"/>
              <w:end w:w="60" w:type="dxa"/>
            </w:tcMar>
          </w:tcPr>
          <w:p>
            <w:pPr>
              <w:keepNext/>
              <w:spacing w:after="0" w:line="240" w:lineRule="auto"/>
              <w:jc w:val="left"/>
            </w:pPr>
            <w:r>
              <w:rPr>
                <w:color w:val="000000"/>
                <w:sz w:val="15"/>
                <w:szCs w:val="15"/>
              </w:rPr>
              <w:t xml:space="preserve">RICA²: 81.4%; Video Swin: 80.1%</w:t>
            </w:r>
          </w:p>
        </w:tc>
        <w:tc>
          <w:tcPr>
            <w:tcW w:type="dxa" w:w="2124"/>
            <w:vAlign w:val="center"/>
            <w:tcMar>
              <w:top w:w="50" w:type="dxa"/>
              <w:start w:w="60" w:type="dxa"/>
              <w:bottom w:w="50" w:type="dxa"/>
              <w:end w:w="60" w:type="dxa"/>
            </w:tcMar>
          </w:tcPr>
          <w:p>
            <w:pPr>
              <w:keepNext/>
              <w:spacing w:after="0" w:line="240" w:lineRule="auto"/>
              <w:jc w:val="left"/>
            </w:pPr>
            <w:r>
              <w:rPr>
                <w:color w:val="000000"/>
                <w:sz w:val="15"/>
                <w:szCs w:val="15"/>
              </w:rPr>
              <w:t xml:space="preserve">Only with the same binary protocol and split</w:t>
            </w:r>
          </w:p>
        </w:tc>
      </w:tr>
      <w:tr>
        <w:trPr>
          <w:cantSplit/>
        </w:trPr>
        <w:tc>
          <w:tcPr>
            <w:tcW w:type="dxa" w:w="1800"/>
            <w:vAlign w:val="center"/>
            <w:tcMar>
              <w:top w:w="50" w:type="dxa"/>
              <w:start w:w="60" w:type="dxa"/>
              <w:bottom w:w="50" w:type="dxa"/>
              <w:end w:w="60" w:type="dxa"/>
            </w:tcMar>
          </w:tcPr>
          <w:p>
            <w:pPr>
              <w:keepNext/>
              <w:spacing w:after="0" w:line="240" w:lineRule="auto"/>
              <w:jc w:val="left"/>
            </w:pPr>
            <w:r>
              <w:rPr>
                <w:color w:val="000000"/>
                <w:sz w:val="15"/>
                <w:szCs w:val="15"/>
              </w:rPr>
              <w:t xml:space="preserve">EFA [3]</w:t>
            </w:r>
          </w:p>
        </w:tc>
        <w:tc>
          <w:tcPr>
            <w:tcW w:type="dxa" w:w="2200"/>
            <w:vAlign w:val="center"/>
            <w:tcMar>
              <w:top w:w="50" w:type="dxa"/>
              <w:start w:w="60" w:type="dxa"/>
              <w:bottom w:w="50" w:type="dxa"/>
              <w:end w:w="60" w:type="dxa"/>
            </w:tcMar>
          </w:tcPr>
          <w:p>
            <w:pPr>
              <w:keepNext/>
              <w:spacing w:after="0" w:line="240" w:lineRule="auto"/>
              <w:jc w:val="left"/>
            </w:pPr>
            <w:r>
              <w:rPr>
                <w:color w:val="000000"/>
                <w:sz w:val="15"/>
                <w:szCs w:val="15"/>
              </w:rPr>
              <w:t xml:space="preserve">Chain-of-thought explanation generation</w:t>
            </w:r>
          </w:p>
        </w:tc>
        <w:tc>
          <w:tcPr>
            <w:tcW w:type="dxa" w:w="1200"/>
            <w:vAlign w:val="center"/>
            <w:tcMar>
              <w:top w:w="50" w:type="dxa"/>
              <w:start w:w="60" w:type="dxa"/>
              <w:bottom w:w="50" w:type="dxa"/>
              <w:end w:w="60" w:type="dxa"/>
            </w:tcMar>
          </w:tcPr>
          <w:p>
            <w:pPr>
              <w:keepNext/>
              <w:spacing w:after="0" w:line="240" w:lineRule="auto"/>
              <w:jc w:val="left"/>
            </w:pPr>
            <w:r>
              <w:rPr>
                <w:color w:val="000000"/>
                <w:sz w:val="15"/>
                <w:szCs w:val="15"/>
              </w:rPr>
              <w:t xml:space="preserve">CIDEr</w:t>
            </w:r>
          </w:p>
        </w:tc>
        <w:tc>
          <w:tcPr>
            <w:tcW w:type="dxa" w:w="1000"/>
            <w:vAlign w:val="center"/>
            <w:tcMar>
              <w:top w:w="50" w:type="dxa"/>
              <w:start w:w="60" w:type="dxa"/>
              <w:bottom w:w="50" w:type="dxa"/>
              <w:end w:w="60" w:type="dxa"/>
            </w:tcMar>
          </w:tcPr>
          <w:p>
            <w:pPr>
              <w:keepNext/>
              <w:spacing w:after="0" w:line="240" w:lineRule="auto"/>
              <w:jc w:val="left"/>
            </w:pPr>
            <w:r>
              <w:rPr>
                <w:color w:val="000000"/>
                <w:sz w:val="15"/>
                <w:szCs w:val="15"/>
              </w:rPr>
              <w:t xml:space="preserve">33.3</w:t>
            </w:r>
          </w:p>
        </w:tc>
        <w:tc>
          <w:tcPr>
            <w:tcW w:type="dxa" w:w="1900"/>
            <w:vAlign w:val="center"/>
            <w:tcMar>
              <w:top w:w="50" w:type="dxa"/>
              <w:start w:w="60" w:type="dxa"/>
              <w:bottom w:w="50" w:type="dxa"/>
              <w:end w:w="60" w:type="dxa"/>
            </w:tcMar>
          </w:tcPr>
          <w:p>
            <w:pPr>
              <w:keepNext/>
              <w:spacing w:after="0" w:line="240" w:lineRule="auto"/>
              <w:jc w:val="left"/>
            </w:pPr>
            <w:r>
              <w:rPr>
                <w:color w:val="000000"/>
                <w:sz w:val="15"/>
                <w:szCs w:val="15"/>
              </w:rPr>
              <w:t xml:space="preserve">LAVENDER: 28.7</w:t>
            </w:r>
          </w:p>
        </w:tc>
        <w:tc>
          <w:tcPr>
            <w:tcW w:type="dxa" w:w="2124"/>
            <w:vAlign w:val="center"/>
            <w:tcMar>
              <w:top w:w="50" w:type="dxa"/>
              <w:start w:w="60" w:type="dxa"/>
              <w:bottom w:w="50" w:type="dxa"/>
              <w:end w:w="60" w:type="dxa"/>
            </w:tcMar>
          </w:tcPr>
          <w:p>
            <w:pPr>
              <w:keepNext/>
              <w:spacing w:after="0" w:line="240" w:lineRule="auto"/>
              <w:jc w:val="left"/>
            </w:pPr>
            <w:r>
              <w:rPr>
                <w:color w:val="000000"/>
                <w:sz w:val="15"/>
                <w:szCs w:val="15"/>
              </w:rPr>
              <w:t xml:space="preserve">Only if GymOptix generates comparable text</w:t>
            </w:r>
          </w:p>
        </w:tc>
      </w:tr>
      <w:tr>
        <w:trPr>
          <w:cantSplit/>
        </w:trPr>
        <w:tc>
          <w:tcPr>
            <w:tcW w:type="dxa" w:w="18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GymOptix (proposed)</w:t>
            </w:r>
          </w:p>
        </w:tc>
        <w:tc>
          <w:tcPr>
            <w:tcW w:type="dxa" w:w="22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c>
          <w:tcPr>
            <w:tcW w:type="dxa" w:w="12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c>
          <w:tcPr>
            <w:tcW w:type="dxa" w:w="10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c>
          <w:tcPr>
            <w:tcW w:type="dxa" w:w="1900"/>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c>
          <w:tcPr>
            <w:tcW w:type="dxa" w:w="2124"/>
            <w:shd w:val="clear" w:color="auto" w:fill="EAF2FB"/>
            <w:vAlign w:val="center"/>
            <w:tcMar>
              <w:top w:w="50" w:type="dxa"/>
              <w:start w:w="60" w:type="dxa"/>
              <w:bottom w:w="50" w:type="dxa"/>
              <w:end w:w="60" w:type="dxa"/>
            </w:tcMar>
          </w:tcPr>
          <w:p>
            <w:pPr>
              <w:spacing w:after="0" w:line="240" w:lineRule="auto"/>
              <w:jc w:val="left"/>
            </w:pPr>
            <w:r>
              <w:rPr>
                <w:b/>
                <w:color w:val="000000"/>
                <w:sz w:val="15"/>
                <w:szCs w:val="15"/>
              </w:rPr>
              <w:t xml:space="preserve">...</w:t>
            </w:r>
          </w:p>
        </w:tc>
      </w:tr>
    </w:tbl>
    <w:p>
      <w:pPr>
        <w:spacing w:after="100" w:line="259" w:lineRule="auto"/>
      </w:pPr>
      <w:r>
        <w:rPr>
          <w:i/>
          <w:sz w:val="17"/>
          <w:szCs w:val="17"/>
        </w:rPr>
        <w:t xml:space="preserve">Values are taken from the result tables of [3]. The task is called action form assessment rather than action quality assessment, because [3] distinguishes it from score-based quality assessment.</w:t>
      </w:r>
    </w:p>
    <w:p>
      <w:pPr>
        <w:pStyle w:val="Heading2"/>
      </w:pPr>
      <w:r>
        <w:t xml:space="preserve">5.X.4 Experimental Discussion Template</w:t>
      </w:r>
    </w:p>
    <w:p>
      <w:pPr>
        <w:spacing w:after="100" w:line="259" w:lineRule="auto"/>
      </w:pPr>
      <w:r>
        <w:t xml:space="preserve">After the final experiments, the discussion should follow this structure:</w:t>
      </w:r>
    </w:p>
    <w:p>
      <w:pPr>
        <w:pStyle w:val="ListBullet"/>
        <w:spacing w:after="40"/>
      </w:pPr>
      <w:r>
        <w:t xml:space="preserve">State the GymOptix result and the metric used.</w:t>
      </w:r>
    </w:p>
    <w:p>
      <w:pPr>
        <w:pStyle w:val="ListBullet"/>
        <w:spacing w:after="40"/>
      </w:pPr>
      <w:r>
        <w:t xml:space="preserve">State whether the previous study used the same dataset, task, and metric.</w:t>
      </w:r>
    </w:p>
    <w:p>
      <w:pPr>
        <w:pStyle w:val="ListBullet"/>
        <w:spacing w:after="40"/>
      </w:pPr>
      <w:r>
        <w:t xml:space="preserve">When the comparison is direct, report the difference: in percentage points for accuracy and OBO, and as relative error reduction for MAE, computed only when the metric definitions and the dataset are identical.</w:t>
      </w:r>
    </w:p>
    <w:p>
      <w:pPr>
        <w:pStyle w:val="ListBullet"/>
        <w:spacing w:after="40"/>
      </w:pPr>
      <w:r>
        <w:t xml:space="preserve">Report GymOptix results as mean and standard deviation over several runs. A difference smaller than this variation is described as comparable, not as an improvement.</w:t>
      </w:r>
    </w:p>
    <w:p>
      <w:pPr>
        <w:pStyle w:val="ListBullet"/>
        <w:spacing w:after="40"/>
      </w:pPr>
      <w:r>
        <w:t xml:space="preserve">When the comparison is not direct, explain the protocol difference instead of claiming that one model outperformed the other.</w:t>
      </w:r>
    </w:p>
    <w:p>
      <w:pPr>
        <w:keepNext/>
        <w:spacing w:after="100" w:line="259" w:lineRule="auto"/>
      </w:pPr>
      <w:r>
        <w:t xml:space="preserve">Example wording for a direct comparison:</w:t>
      </w:r>
    </w:p>
    <w:p>
      <w:pPr>
        <w:spacing w:after="100" w:line="259" w:lineRule="auto"/>
        <w:ind w:left="360"/>
      </w:pPr>
      <w:r>
        <w:rPr>
          <w:i/>
        </w:rPr>
        <w:t xml:space="preserve">“On the RepCount test set, GymOptix achieved an MAE of ... and an OBO of ..., compared with 0.216 and 0.586 reported by GMFL-Net [1] and 0.162 and 0.639 reported by CountLLM [2]. Under the same evaluation protocol, this corresponds to an MAE reduction of ...% and an OBO difference of ... percentage points relative to [1].”</w:t>
      </w:r>
    </w:p>
    <w:p>
      <w:pPr>
        <w:keepNext/>
        <w:spacing w:after="100" w:line="259" w:lineRule="auto"/>
      </w:pPr>
      <w:r>
        <w:t xml:space="preserve">Example wording for form assessment:</w:t>
      </w:r>
    </w:p>
    <w:p>
      <w:pPr>
        <w:spacing w:after="100" w:line="259" w:lineRule="auto"/>
        <w:ind w:left="360"/>
      </w:pPr>
      <w:r>
        <w:rPr>
          <w:i/>
        </w:rPr>
        <w:t xml:space="preserve">“On the CoT-AFA test split, GymOptix reached a binary form-assessment accuracy of ..., compared with 81.8% reported for EFA [3], a difference of ... percentage points.”</w:t>
      </w:r>
    </w:p>
    <w:p>
      <w:pPr>
        <w:keepNext/>
        <w:spacing w:after="100" w:line="259" w:lineRule="auto"/>
      </w:pPr>
      <w:r>
        <w:t xml:space="preserve">Example wording when the protocols differ:</w:t>
      </w:r>
    </w:p>
    <w:p>
      <w:pPr>
        <w:spacing w:after="100" w:line="259" w:lineRule="auto"/>
        <w:ind w:left="360"/>
      </w:pPr>
      <w:r>
        <w:rPr>
          <w:i/>
        </w:rPr>
        <w:t xml:space="preserve">“GymOptix achieved ... on its evaluation dataset, whereas CountLLM [2] reported 0.162 MAE and 0.639 OBO on RepCount. Because the datasets and evaluation protocols differ, these results are reported as related evidence rather than a direct numerical comparison.”</w:t>
      </w:r>
    </w:p>
    <w:p>
      <w:pPr>
        <w:pStyle w:val="Heading1"/>
      </w:pPr>
      <w:r>
        <w:t xml:space="preserve">References</w:t>
      </w:r>
    </w:p>
    <w:p>
      <w:pPr>
        <w:spacing w:after="80" w:line="259" w:lineRule="auto"/>
        <w:ind w:left="216" w:hanging="216"/>
      </w:pPr>
      <w:r>
        <w:t xml:space="preserve">[1] J. Li, J. Wu, Q. Li, and F. Guo, “GMFL-Net: A Global Multi-geometric Feature Learning Network for Repetitive Action Counting,” arXiv:2409.00330, 2024. https://arxiv.org/abs/2409.00330</w:t>
      </w:r>
    </w:p>
    <w:p>
      <w:pPr>
        <w:spacing w:after="80" w:line="259" w:lineRule="auto"/>
        <w:ind w:left="216" w:hanging="216"/>
      </w:pPr>
      <w:r>
        <w:t xml:space="preserve">[2] Z. Yao, X. Cheng, Z. Huang, and L. Li, “CountLLM: Towards Generalizable Repetitive Action Counting via Large Language Model,” in Proceedings of the IEEE/CVF Conference on Computer Vision and Pattern Recognition (CVPR), 2025, pp. 19143–19153, doi: 10.1109/CVPR52734.2025.01783.</w:t>
      </w:r>
    </w:p>
    <w:p>
      <w:pPr>
        <w:spacing w:after="80" w:line="259" w:lineRule="auto"/>
        <w:ind w:left="216" w:hanging="216"/>
      </w:pPr>
      <w:r>
        <w:t xml:space="preserve">[3] M. Qi, Y. Wu, W. Yun, X. Zhang, and H. Ma, “Explainable Action Form Assessment by Exploiting Multimodal Chain-of-Thoughts Reasoning,” IEEE Transactions on Image Processing, vol. 35, pp. 6371–6384, 2026, doi: 10.1109/TIP.2026.3700882. Preprint: https://arxiv.org/abs/2512.15153</w:t>
      </w:r>
    </w:p>
    <w:p>
      <w:pPr>
        <w:spacing w:after="80" w:line="259" w:lineRule="auto"/>
      </w:pPr>
      <w:r>
        <w:rPr>
          <w:highlight w:val="yellow"/>
        </w:rPr>
        <w:t xml:space="preserve">[TO CONFIRM: entries [4]–[23] are compiled from the research sheet; complete the author initials in IEEE style and every highlighted field before submission.]</w:t>
      </w:r>
    </w:p>
    <w:p>
      <w:pPr>
        <w:spacing w:after="80" w:line="259" w:lineRule="auto"/>
        <w:ind w:left="216" w:hanging="216"/>
      </w:pPr>
      <w:r>
        <w:t xml:space="preserve">[4] Alatiah and Chen, “Recognizing Exercises and Counting Repetitions in Real Time,” arXiv:2005.03194, 2020.</w:t>
      </w:r>
    </w:p>
    <w:p>
      <w:pPr>
        <w:spacing w:after="80" w:line="259" w:lineRule="auto"/>
        <w:ind w:left="216" w:hanging="216"/>
      </w:pPr>
      <w:r>
        <w:t xml:space="preserve">[5] D. Dwibedi, Y. Aytar, J. Tompson, P. Sermanet, and A. Zisserman, “Counting Out Time: Class Agnostic Video Repetition Counting in the Wild,” in Proc. IEEE/CVF CVPR, 2020, pp. 10387–10396.</w:t>
      </w:r>
    </w:p>
    <w:p>
      <w:pPr>
        <w:spacing w:after="80" w:line="259" w:lineRule="auto"/>
        <w:ind w:left="216" w:hanging="216"/>
      </w:pPr>
      <w:r>
        <w:t xml:space="preserve">[6] Ferreira et al., “Deep Learning Approaches for Workout Repetition Counting and Validation,” 2021. </w:t>
      </w:r>
      <w:r>
        <w:rPr>
          <w:highlight w:val="yellow"/>
        </w:rPr>
        <w:t xml:space="preserve">[authors, journal, volume, DOI]</w:t>
      </w:r>
    </w:p>
    <w:p>
      <w:pPr>
        <w:spacing w:after="80" w:line="259" w:lineRule="auto"/>
        <w:ind w:left="216" w:hanging="216"/>
      </w:pPr>
      <w:r>
        <w:t xml:space="preserve">[7] Yu et al., “Deep Learning-Enabled Multitask System for Exercise Recognition and Counting,” 2021. </w:t>
      </w:r>
      <w:r>
        <w:rPr>
          <w:highlight w:val="yellow"/>
        </w:rPr>
        <w:t xml:space="preserve">[authors, venue, DOI]</w:t>
      </w:r>
    </w:p>
    <w:p>
      <w:pPr>
        <w:spacing w:after="80" w:line="259" w:lineRule="auto"/>
        <w:ind w:left="216" w:hanging="216"/>
      </w:pPr>
      <w:r>
        <w:t xml:space="preserve">[8] Khurana et al., “Viewpoint-Invariant Exercise Repetition Counting,” arXiv:2107.13760, 2021.</w:t>
      </w:r>
    </w:p>
    <w:p>
      <w:pPr>
        <w:spacing w:after="80" w:line="259" w:lineRule="auto"/>
        <w:ind w:left="216" w:hanging="216"/>
      </w:pPr>
      <w:r>
        <w:t xml:space="preserve">[9] H. Hu, S. Dong, Y. Zhao, D. Lian, Z. Li, and S. Gao, “TransRAC: Encoding Multi-scale Temporal Correlation with Transformers for Repetitive Action Counting,” in Proc. IEEE/CVF CVPR, 2022, doi: 10.1109/CVPR52688.2022.01843.</w:t>
      </w:r>
    </w:p>
    <w:p>
      <w:pPr>
        <w:spacing w:after="80" w:line="259" w:lineRule="auto"/>
        <w:ind w:left="216" w:hanging="216"/>
      </w:pPr>
      <w:r>
        <w:t xml:space="preserve">[10] Cheng et al., “Periodic Physical Activity Information Segmentation, Counting and Recognition from Video,” IEEE Access, 2023. </w:t>
      </w:r>
      <w:r>
        <w:rPr>
          <w:highlight w:val="yellow"/>
        </w:rPr>
        <w:t xml:space="preserve">[authors, volume, DOI]</w:t>
      </w:r>
    </w:p>
    <w:p>
      <w:pPr>
        <w:spacing w:after="80" w:line="259" w:lineRule="auto"/>
        <w:ind w:left="216" w:hanging="216"/>
      </w:pPr>
      <w:r>
        <w:t xml:space="preserve">[11] Abedi et al., “Rehabilitation Exercise Repetition Segmentation and Counting using Skeletal Body Joints,” arXiv:2304.09735, 2023.</w:t>
      </w:r>
    </w:p>
    <w:p>
      <w:pPr>
        <w:spacing w:after="80" w:line="259" w:lineRule="auto"/>
        <w:ind w:left="216" w:hanging="216"/>
      </w:pPr>
      <w:r>
        <w:t xml:space="preserve">[12] Kim et al., “Human Pose Estimation Using MediaPipe Pose and Optimization Method Based on a Humanoid Model,” 2023. </w:t>
      </w:r>
      <w:r>
        <w:rPr>
          <w:highlight w:val="yellow"/>
        </w:rPr>
        <w:t xml:space="preserve">[authors, venue, DOI]</w:t>
      </w:r>
    </w:p>
    <w:p>
      <w:pPr>
        <w:spacing w:after="80" w:line="259" w:lineRule="auto"/>
        <w:ind w:left="216" w:hanging="216"/>
      </w:pPr>
      <w:r>
        <w:t xml:space="preserve">[13] R. Riccio, “Real-Time Fitness Exercise Classification and Counting from Video Frames,” arXiv:2411.11548, 2024.</w:t>
      </w:r>
    </w:p>
    <w:p>
      <w:pPr>
        <w:spacing w:after="80" w:line="259" w:lineRule="auto"/>
        <w:ind w:left="216" w:hanging="216"/>
      </w:pPr>
      <w:r>
        <w:t xml:space="preserve">[14] Volschenk, Vadapalli, and van der Haar, “Exercise Recognition and Repetition Counting for Automatic Workout Documentation Using Computer Vision,” Springer, 2024, doi: 10.1007/978-3-031-61066-0_18. </w:t>
      </w:r>
      <w:r>
        <w:rPr>
          <w:highlight w:val="yellow"/>
        </w:rPr>
        <w:t xml:space="preserve">[book title, initials]</w:t>
      </w:r>
    </w:p>
    <w:p>
      <w:pPr>
        <w:spacing w:after="80" w:line="259" w:lineRule="auto"/>
        <w:ind w:left="216" w:hanging="216"/>
      </w:pPr>
      <w:r>
        <w:t xml:space="preserve">[15] Japhne, Janada, Theodorus et al., “FitCam: Detecting and Counting Repetitive Exercises with Deep Learning,” Journal of Big Data, 2024, doi: 10.1186/s40537-024-00915-8. </w:t>
      </w:r>
      <w:r>
        <w:rPr>
          <w:highlight w:val="yellow"/>
        </w:rPr>
        <w:t xml:space="preserve">[complete author list]</w:t>
      </w:r>
    </w:p>
    <w:p>
      <w:pPr>
        <w:spacing w:after="80" w:line="259" w:lineRule="auto"/>
        <w:ind w:left="216" w:hanging="216"/>
      </w:pPr>
      <w:r>
        <w:t xml:space="preserve">[16] X. Li and H. Xu, “Repetitive Action Counting with Motion Feature Learning,” in Proc. IEEE/CVF WACV, 2024, pp. 6499–6508.</w:t>
      </w:r>
    </w:p>
    <w:p>
      <w:pPr>
        <w:spacing w:after="80" w:line="259" w:lineRule="auto"/>
        <w:ind w:left="216" w:hanging="216"/>
      </w:pPr>
      <w:r>
        <w:t xml:space="preserve">[17] “Leveraging Irregular Repetition Priors for Improving Video Action Counting (IVAC-P2L),” arXiv:2403.11959, 2024. </w:t>
      </w:r>
      <w:r>
        <w:rPr>
          <w:highlight w:val="yellow"/>
        </w:rPr>
        <w:t xml:space="preserve">[authors]</w:t>
      </w:r>
    </w:p>
    <w:p>
      <w:pPr>
        <w:spacing w:after="80" w:line="259" w:lineRule="auto"/>
        <w:ind w:left="216" w:hanging="216"/>
      </w:pPr>
      <w:r>
        <w:t xml:space="preserve">[18] “Joint-wise Temporal Self-Similarity Periodic Selection Network (JTSPS-Net),” with the FitnessRep dataset. </w:t>
      </w:r>
      <w:r>
        <w:rPr>
          <w:highlight w:val="yellow"/>
        </w:rPr>
        <w:t xml:space="preserve">[authors, venue, year, DOI]</w:t>
      </w:r>
    </w:p>
    <w:p>
      <w:pPr>
        <w:spacing w:after="80" w:line="259" w:lineRule="auto"/>
        <w:ind w:left="216" w:hanging="216"/>
      </w:pPr>
      <w:r>
        <w:t xml:space="preserve">[19] “Fitness Action Counting Algorithm Based on Pose Estimation,” ACM ICAIPR, 2024, doi: 10.1145/3703935.3704003. </w:t>
      </w:r>
      <w:r>
        <w:rPr>
          <w:highlight w:val="yellow"/>
        </w:rPr>
        <w:t xml:space="preserve">[authors, full conference name]</w:t>
      </w:r>
    </w:p>
    <w:p>
      <w:pPr>
        <w:spacing w:after="80" w:line="259" w:lineRule="auto"/>
        <w:ind w:left="216" w:hanging="216"/>
      </w:pPr>
      <w:r>
        <w:t xml:space="preserve">[20] S. Sinha, A. Stergiou, and D. Damen, “Every Shot Counts: Using Exemplars for Repetition Counting in Videos,” in Proc. ACCV, arXiv:2403.18074. </w:t>
      </w:r>
      <w:r>
        <w:rPr>
          <w:highlight w:val="yellow"/>
        </w:rPr>
        <w:t xml:space="preserve">[check the year: the research sheet lists 2025, the preprint is from 2024]</w:t>
      </w:r>
    </w:p>
    <w:p>
      <w:pPr>
        <w:spacing w:after="80" w:line="259" w:lineRule="auto"/>
        <w:ind w:left="216" w:hanging="216"/>
      </w:pPr>
      <w:r>
        <w:t xml:space="preserve">[21] “Pose Estimation Survey for Action Recognition (IoT context),” Computer Vision and Image Understanding, vol. 252, 2025. </w:t>
      </w:r>
      <w:r>
        <w:rPr>
          <w:highlight w:val="yellow"/>
        </w:rPr>
        <w:t xml:space="preserve">[authors, exact title, DOI]</w:t>
      </w:r>
    </w:p>
    <w:p>
      <w:pPr>
        <w:spacing w:after="80" w:line="259" w:lineRule="auto"/>
        <w:ind w:left="216" w:hanging="216"/>
      </w:pPr>
      <w:r>
        <w:t xml:space="preserve">[22] “PoseTracker: Accuracy Evaluation of AI-Based Mobile Application for Exercise Posture Feedback,” 2025. </w:t>
      </w:r>
      <w:r>
        <w:rPr>
          <w:highlight w:val="yellow"/>
        </w:rPr>
        <w:t xml:space="preserve">[authors, journal, volume]</w:t>
      </w:r>
    </w:p>
    <w:p>
      <w:pPr>
        <w:spacing w:after="80" w:line="259" w:lineRule="auto"/>
        <w:ind w:left="216" w:hanging="216"/>
      </w:pPr>
      <w:r>
        <w:t xml:space="preserve">[23] “Movement Description Language (MDL) for Functional Training Exercise Analysis,” 2026, doi: 10.3390/jfmk11020162. </w:t>
      </w:r>
      <w:r>
        <w:rPr>
          <w:highlight w:val="yellow"/>
        </w:rPr>
        <w:t xml:space="preserve">[authors, journal, volume]</w:t>
      </w:r>
    </w:p>
    <w:p>
      <w:pPr>
        <w:spacing w:after="80" w:line="259" w:lineRule="auto"/>
        <w:ind w:left="216" w:hanging="216"/>
      </w:pPr>
      <w:r>
        <w:t xml:space="preserve">[24] Z. Yao, X. Cheng, and Y. Zou, “PoseRAC: Pose Saliency Transformer for Repetitive Action Counting,” arXiv:2303.08450, 2023.</w:t>
      </w:r>
    </w:p>
    <w:p>
      <w:pPr>
        <w:spacing w:after="80" w:line="259" w:lineRule="auto"/>
        <w:ind w:left="216" w:hanging="216"/>
      </w:pPr>
      <w:r>
        <w:t xml:space="preserve">[25] H. Chen, N. Zendehdel, M. C. Leu, M. Moniruzzaman, Z. Yin, and S. Hajmohammadi, “Advancements in Repetitive Action Counting: Joint-Based PoseRAC Model With Improved Performance,” arXiv:2308.08632, 2024.</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GymOptix | Related Work &amp; Experimental Comparison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6B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8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7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56B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