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Introduction to Digital Banking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Q1: </w:t>
      </w:r>
      <w:r w:rsidDel="00000000" w:rsidR="00000000" w:rsidRPr="00000000">
        <w:rPr>
          <w:rtl w:val="0"/>
        </w:rPr>
        <w:t xml:space="preserve">What was the first digital banking channel, and in what year did a small number of banks start developing mobile banking apps?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Q2: </w:t>
      </w:r>
      <w:r w:rsidDel="00000000" w:rsidR="00000000" w:rsidRPr="00000000">
        <w:rPr>
          <w:rtl w:val="0"/>
        </w:rPr>
        <w:t xml:space="preserve">Based on the standard banking business model, how do Retail Banks, Commercial Banks, and Investment Banks function?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Q3: </w:t>
      </w:r>
      <w:r w:rsidDel="00000000" w:rsidR="00000000" w:rsidRPr="00000000">
        <w:rPr>
          <w:rtl w:val="0"/>
        </w:rPr>
        <w:t xml:space="preserve">What elements make up the "Secret Sauce" of digital banking (e.g., UX/CX design, Technology, and Data Innovations)?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Q4: </w:t>
      </w:r>
      <w:r w:rsidDel="00000000" w:rsidR="00000000" w:rsidRPr="00000000">
        <w:rPr>
          <w:rtl w:val="0"/>
        </w:rPr>
        <w:t xml:space="preserve">How does firewall hardware work, and what are the main drawbacks of digital banking?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