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increasingly embedded in academic writing workflows. Students often use generative tools to organize evidence, draft outlines, and refine language. Although this assistance can improve efficiency, it may also introduce formulaic wording and weak argument control. Universities therefore need clear guidance that treats AI as a support instrument rather than a replacement for critical reasoning.</w:t>
      </w:r>
    </w:p>
    <w:sectPr>
      <w:pgSz w:w="12240" w:h="15840"/>
      <w:pgMar w:top="1440" w:right="1440" w:bottom="1440" w:left="1440" w:header="720" w:footer="720" w:gutter="0"/>
      <w:cols w:space="720"/>
      <w:docGrid w:linePitch="360"/>
    </w:sectPr>
  </w:body>
</w:document>
</file>