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pPr>
      <w:r>
        <w:rPr>
          <w:rFonts w:ascii="Aptos Display" w:hAnsi="Aptos Display"/>
          <w:b/>
          <w:color w:val="1F7A5A"/>
          <w:sz w:val="24"/>
        </w:rPr>
        <w:t>MEDCARESO</w:t>
      </w:r>
    </w:p>
    <w:p>
      <w:pPr>
        <w:pStyle w:val="Title"/>
      </w:pPr>
      <w:r>
        <w:t>Guide d’installation complète</w:t>
        <w:br/>
        <w:t>d’un cabinet</w:t>
      </w:r>
    </w:p>
    <w:p>
      <w:pPr>
        <w:pStyle w:val="Subtitle"/>
      </w:pPr>
      <w:r>
        <w:t>PostgreSQL local partagé  •  Multi-postes  •  Portail patient par QR code</w:t>
      </w:r>
    </w:p>
    <w:p>
      <w:pPr>
        <w:spacing w:after="200"/>
      </w:pPr>
    </w:p>
    <w:tbl>
      <w:tblPr>
        <w:tblW w:type="dxa" w:w="9866"/>
        <w:jc w:val="left"/>
        <w:tblLayout w:type="fixed"/>
        <w:tblLook w:firstColumn="1" w:firstRow="1" w:lastColumn="0" w:lastRow="0" w:noHBand="0" w:noVBand="1" w:val="04A0"/>
        <w:tblInd w:type="dxa" w:w="120"/>
      </w:tblPr>
      <w:tblGrid>
        <w:gridCol w:w="9866"/>
      </w:tblGrid>
      <w:tr>
        <w:trPr>
          <w:tblHeader w:val="true"/>
        </w:trPr>
        <w:tc>
          <w:tcPr>
            <w:tcW w:type="dxa" w:w="9866"/>
            <w:shd w:fill="EAF6F0"/>
            <w:tcBorders>
              <w:top w:val="single" w:sz="8" w:color="1F7A5A"/>
              <w:left w:val="single" w:sz="8" w:color="1F7A5A"/>
              <w:bottom w:val="single" w:sz="8" w:color="1F7A5A"/>
              <w:right w:val="single" w:sz="8" w:color="1F7A5A"/>
              <w:insideH w:val="single" w:sz="8" w:color="1F7A5A"/>
              <w:insideV w:val="single" w:sz="8" w:color="1F7A5A"/>
            </w:tcBorders>
            <w:vAlign w:val="center"/>
            <w:tcMar>
              <w:top w:w="80" w:type="dxa"/>
              <w:bottom w:w="80" w:type="dxa"/>
              <w:start w:w="120" w:type="dxa"/>
              <w:end w:w="120" w:type="dxa"/>
            </w:tcMar>
          </w:tcPr>
          <w:p>
            <w:pPr>
              <w:spacing w:after="40"/>
            </w:pPr>
            <w:r>
              <w:rPr>
                <w:b/>
                <w:color w:val="1F7A5A"/>
              </w:rPr>
              <w:t>OBJECTIF</w:t>
            </w:r>
          </w:p>
          <w:p>
            <w:pPr>
              <w:pStyle w:val="BodyCompact"/>
              <w:spacing w:after="0"/>
            </w:pPr>
            <w:r>
              <w:t>Installer MedCareSO de manière reproductible, sécurisée et testée, depuis la préparation du poste serveur jusqu’à la remise au cabinet.</w:t>
            </w:r>
          </w:p>
        </w:tc>
      </w:tr>
    </w:tbl>
    <w:p>
      <w:pPr>
        <w:spacing w:after="20"/>
      </w:pPr>
    </w:p>
    <w:tbl>
      <w:tblPr>
        <w:tblStyle w:val="TableGrid"/>
        <w:tblW w:type="dxa" w:w="9866"/>
        <w:jc w:val="left"/>
        <w:tblLayout w:type="fixed"/>
        <w:tblLook w:firstColumn="1" w:firstRow="1" w:lastColumn="0" w:lastRow="0" w:noHBand="0" w:noVBand="1" w:val="04A0"/>
        <w:tblInd w:type="dxa" w:w="120"/>
      </w:tblPr>
      <w:tblGrid>
        <w:gridCol w:w="2960"/>
        <w:gridCol w:w="6906"/>
      </w:tblGrid>
      <w:tr>
        <w:trPr>
          <w:tblHeader w:val="true"/>
          <w:cantSplit w:val="true"/>
        </w:trPr>
        <w:tc>
          <w:tcPr>
            <w:tcW w:type="dxa" w:w="2960"/>
            <w:shd w:fill="183B56"/>
            <w:tcBorders>
              <w:top w:val="single" w:sz="6" w:color="183B56"/>
              <w:left w:val="single" w:sz="6" w:color="183B56"/>
              <w:bottom w:val="single" w:sz="6" w:color="183B56"/>
              <w:right w:val="single" w:sz="6" w:color="183B56"/>
              <w:insideH w:val="single" w:sz="6" w:color="183B56"/>
              <w:insideV w:val="single" w:sz="6" w:color="183B56"/>
            </w:tcBorders>
            <w:vAlign w:val="center"/>
            <w:tcMar>
              <w:top w:w="50" w:type="dxa"/>
              <w:bottom w:w="50" w:type="dxa"/>
              <w:start w:w="120" w:type="dxa"/>
              <w:end w:w="120" w:type="dxa"/>
            </w:tcMar>
          </w:tcPr>
          <w:p>
            <w:pPr>
              <w:spacing w:after="0"/>
            </w:pPr>
            <w:r>
              <w:rPr>
                <w:b/>
                <w:color w:val="FFFFFF"/>
                <w:sz w:val="17"/>
              </w:rPr>
              <w:t>DOCUMENT</w:t>
            </w:r>
          </w:p>
        </w:tc>
        <w:tc>
          <w:tcPr>
            <w:tcW w:type="dxa" w:w="6906"/>
            <w:shd w:fill="183B56"/>
            <w:tcBorders>
              <w:top w:val="single" w:sz="6" w:color="183B56"/>
              <w:left w:val="single" w:sz="6" w:color="183B56"/>
              <w:bottom w:val="single" w:sz="6" w:color="183B56"/>
              <w:right w:val="single" w:sz="6" w:color="183B56"/>
              <w:insideH w:val="single" w:sz="6" w:color="183B56"/>
              <w:insideV w:val="single" w:sz="6" w:color="183B56"/>
            </w:tcBorders>
            <w:vAlign w:val="center"/>
            <w:tcMar>
              <w:top w:w="50" w:type="dxa"/>
              <w:bottom w:w="50" w:type="dxa"/>
              <w:start w:w="120" w:type="dxa"/>
              <w:end w:w="120" w:type="dxa"/>
            </w:tcMar>
          </w:tcPr>
          <w:p>
            <w:pPr>
              <w:spacing w:after="0"/>
            </w:pPr>
            <w:r>
              <w:rPr>
                <w:b/>
                <w:color w:val="FFFFFF"/>
                <w:sz w:val="17"/>
              </w:rPr>
              <w:t>VALEUR</w:t>
            </w:r>
          </w:p>
        </w:tc>
      </w:tr>
      <w:tr>
        <w:trPr>
          <w:cantSplit w:val="true"/>
        </w:trPr>
        <w:tc>
          <w:tcPr>
            <w:tcW w:type="dxa" w:w="2960"/>
            <w:shd w:fill="FFFFFF"/>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Produit</w:t>
            </w:r>
          </w:p>
        </w:tc>
        <w:tc>
          <w:tcPr>
            <w:tcW w:type="dxa" w:w="6906"/>
            <w:shd w:fill="FFFFFF"/>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MedCareSO 2.1.1</w:t>
            </w:r>
          </w:p>
        </w:tc>
      </w:tr>
      <w:tr>
        <w:trPr>
          <w:cantSplit w:val="true"/>
        </w:trPr>
        <w:tc>
          <w:tcPr>
            <w:tcW w:type="dxa" w:w="2960"/>
            <w:shd w:fill="F5F9FC"/>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Public</w:t>
            </w:r>
          </w:p>
        </w:tc>
        <w:tc>
          <w:tcPr>
            <w:tcW w:type="dxa" w:w="6906"/>
            <w:shd w:fill="F5F9FC"/>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Installateur, administrateur du cabinet, support informatique</w:t>
            </w:r>
          </w:p>
        </w:tc>
      </w:tr>
      <w:tr>
        <w:trPr>
          <w:cantSplit w:val="true"/>
        </w:trPr>
        <w:tc>
          <w:tcPr>
            <w:tcW w:type="dxa" w:w="2960"/>
            <w:shd w:fill="FFFFFF"/>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Scénario</w:t>
            </w:r>
          </w:p>
        </w:tc>
        <w:tc>
          <w:tcPr>
            <w:tcW w:type="dxa" w:w="6906"/>
            <w:shd w:fill="FFFFFF"/>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Base PostgreSQL locale sur le PC serveur, partagée sur le réseau privé</w:t>
            </w:r>
          </w:p>
        </w:tc>
      </w:tr>
      <w:tr>
        <w:trPr>
          <w:cantSplit w:val="true"/>
        </w:trPr>
        <w:tc>
          <w:tcPr>
            <w:tcW w:type="dxa" w:w="2960"/>
            <w:shd w:fill="F5F9FC"/>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Mise à jour</w:t>
            </w:r>
          </w:p>
        </w:tc>
        <w:tc>
          <w:tcPr>
            <w:tcW w:type="dxa" w:w="6906"/>
            <w:shd w:fill="F5F9FC"/>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16 juillet 2026</w:t>
            </w:r>
          </w:p>
        </w:tc>
      </w:tr>
    </w:tbl>
    <w:p>
      <w:pPr>
        <w:spacing w:after="20"/>
      </w:pPr>
    </w:p>
    <w:p>
      <w:pPr>
        <w:spacing w:after="720"/>
      </w:pPr>
    </w:p>
    <w:p>
      <w:pPr>
        <w:jc w:val="center"/>
      </w:pPr>
      <w:r>
        <w:rPr>
          <w:i/>
          <w:color w:val="5F6F7F"/>
          <w:sz w:val="18"/>
        </w:rPr>
        <w:t>Aucun mot de passe réel n’est inclus dans ce document.</w:t>
        <w:br/>
        <w:t>Les secrets sont remis séparément au responsable autorisé.</w:t>
      </w:r>
    </w:p>
    <w:p>
      <w:r>
        <w:br w:type="page"/>
      </w:r>
    </w:p>
    <w:p>
      <w:pPr>
        <w:pStyle w:val="Heading1"/>
        <w:keepNext/>
      </w:pPr>
      <w:r>
        <w:t>Le parcours en un coup d’œil</w:t>
      </w:r>
    </w:p>
    <w:tbl>
      <w:tblPr>
        <w:tblStyle w:val="TableGrid"/>
        <w:tblW w:type="dxa" w:w="9866"/>
        <w:jc w:val="left"/>
        <w:tblLayout w:type="fixed"/>
        <w:tblLook w:firstColumn="1" w:firstRow="1" w:lastColumn="0" w:lastRow="0" w:noHBand="0" w:noVBand="1" w:val="04A0"/>
        <w:tblInd w:type="dxa" w:w="120"/>
      </w:tblPr>
      <w:tblGrid>
        <w:gridCol w:w="2519"/>
        <w:gridCol w:w="7347"/>
      </w:tblGrid>
      <w:tr>
        <w:trPr>
          <w:tblHeader w:val="true"/>
          <w:cantSplit w:val="true"/>
        </w:trPr>
        <w:tc>
          <w:tcPr>
            <w:tcW w:type="dxa" w:w="2519"/>
            <w:shd w:fill="183B56"/>
            <w:tcBorders>
              <w:top w:val="single" w:sz="6" w:color="183B56"/>
              <w:left w:val="single" w:sz="6" w:color="183B56"/>
              <w:bottom w:val="single" w:sz="6" w:color="183B56"/>
              <w:right w:val="single" w:sz="6" w:color="183B56"/>
              <w:insideH w:val="single" w:sz="6" w:color="183B56"/>
              <w:insideV w:val="single" w:sz="6" w:color="183B56"/>
            </w:tcBorders>
            <w:vAlign w:val="center"/>
            <w:tcMar>
              <w:top w:w="50" w:type="dxa"/>
              <w:bottom w:w="50" w:type="dxa"/>
              <w:start w:w="120" w:type="dxa"/>
              <w:end w:w="120" w:type="dxa"/>
            </w:tcMar>
          </w:tcPr>
          <w:p>
            <w:pPr>
              <w:spacing w:after="0"/>
            </w:pPr>
            <w:r>
              <w:rPr>
                <w:b/>
                <w:color w:val="FFFFFF"/>
                <w:sz w:val="17"/>
              </w:rPr>
              <w:t>PHASE</w:t>
            </w:r>
          </w:p>
        </w:tc>
        <w:tc>
          <w:tcPr>
            <w:tcW w:type="dxa" w:w="7347"/>
            <w:shd w:fill="183B56"/>
            <w:tcBorders>
              <w:top w:val="single" w:sz="6" w:color="183B56"/>
              <w:left w:val="single" w:sz="6" w:color="183B56"/>
              <w:bottom w:val="single" w:sz="6" w:color="183B56"/>
              <w:right w:val="single" w:sz="6" w:color="183B56"/>
              <w:insideH w:val="single" w:sz="6" w:color="183B56"/>
              <w:insideV w:val="single" w:sz="6" w:color="183B56"/>
            </w:tcBorders>
            <w:vAlign w:val="center"/>
            <w:tcMar>
              <w:top w:w="50" w:type="dxa"/>
              <w:bottom w:w="50" w:type="dxa"/>
              <w:start w:w="120" w:type="dxa"/>
              <w:end w:w="120" w:type="dxa"/>
            </w:tcMar>
          </w:tcPr>
          <w:p>
            <w:pPr>
              <w:spacing w:after="0"/>
            </w:pPr>
            <w:r>
              <w:rPr>
                <w:b/>
                <w:color w:val="FFFFFF"/>
                <w:sz w:val="17"/>
              </w:rPr>
              <w:t>RÉSULTAT ATTENDU</w:t>
            </w:r>
          </w:p>
        </w:tc>
      </w:tr>
      <w:tr>
        <w:trPr>
          <w:cantSplit w:val="true"/>
        </w:trPr>
        <w:tc>
          <w:tcPr>
            <w:tcW w:type="dxa" w:w="2519"/>
            <w:shd w:fill="FFFFFF"/>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1. Préparer</w:t>
            </w:r>
          </w:p>
        </w:tc>
        <w:tc>
          <w:tcPr>
            <w:tcW w:type="dxa" w:w="7347"/>
            <w:shd w:fill="FFFFFF"/>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Poste serveur choisi, IP réservée, réseau privé vérifié</w:t>
            </w:r>
          </w:p>
        </w:tc>
      </w:tr>
      <w:tr>
        <w:trPr>
          <w:cantSplit w:val="true"/>
        </w:trPr>
        <w:tc>
          <w:tcPr>
            <w:tcW w:type="dxa" w:w="2519"/>
            <w:shd w:fill="F5F9FC"/>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2. Créer la base</w:t>
            </w:r>
          </w:p>
        </w:tc>
        <w:tc>
          <w:tcPr>
            <w:tcW w:type="dxa" w:w="7347"/>
            <w:shd w:fill="F5F9FC"/>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PostgreSQL actif, cabinet_db et cabinet_app disponibles</w:t>
            </w:r>
          </w:p>
        </w:tc>
      </w:tr>
      <w:tr>
        <w:trPr>
          <w:cantSplit w:val="true"/>
        </w:trPr>
        <w:tc>
          <w:tcPr>
            <w:tcW w:type="dxa" w:w="2519"/>
            <w:shd w:fill="FFFFFF"/>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3. Ouvrir le LAN</w:t>
            </w:r>
          </w:p>
        </w:tc>
        <w:tc>
          <w:tcPr>
            <w:tcW w:type="dxa" w:w="7347"/>
            <w:shd w:fill="FFFFFF"/>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5432 accessible uniquement depuis le sous-réseau du cabinet</w:t>
            </w:r>
          </w:p>
        </w:tc>
      </w:tr>
      <w:tr>
        <w:trPr>
          <w:cantSplit w:val="true"/>
        </w:trPr>
        <w:tc>
          <w:tcPr>
            <w:tcW w:type="dxa" w:w="2519"/>
            <w:shd w:fill="F5F9FC"/>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4. Installer le serveur</w:t>
            </w:r>
          </w:p>
        </w:tc>
        <w:tc>
          <w:tcPr>
            <w:tcW w:type="dxa" w:w="7347"/>
            <w:shd w:fill="F5F9FC"/>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MedCareSO connecté localement et migrations appliquées</w:t>
            </w:r>
          </w:p>
        </w:tc>
      </w:tr>
      <w:tr>
        <w:trPr>
          <w:cantSplit w:val="true"/>
        </w:trPr>
        <w:tc>
          <w:tcPr>
            <w:tcW w:type="dxa" w:w="2519"/>
            <w:shd w:fill="FFFFFF"/>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5. Configurer</w:t>
            </w:r>
          </w:p>
        </w:tc>
        <w:tc>
          <w:tcPr>
            <w:tcW w:type="dxa" w:w="7347"/>
            <w:shd w:fill="FFFFFF"/>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Licence, comptes, cabinet et périphériques prêts</w:t>
            </w:r>
          </w:p>
        </w:tc>
      </w:tr>
      <w:tr>
        <w:trPr>
          <w:cantSplit w:val="true"/>
        </w:trPr>
        <w:tc>
          <w:tcPr>
            <w:tcW w:type="dxa" w:w="2519"/>
            <w:shd w:fill="F5F9FC"/>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6. Installer les clients</w:t>
            </w:r>
          </w:p>
        </w:tc>
        <w:tc>
          <w:tcPr>
            <w:tcW w:type="dxa" w:w="7347"/>
            <w:shd w:fill="F5F9FC"/>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Tous les postes utilisent la même base et la même version</w:t>
            </w:r>
          </w:p>
        </w:tc>
      </w:tr>
      <w:tr>
        <w:trPr>
          <w:cantSplit w:val="true"/>
        </w:trPr>
        <w:tc>
          <w:tcPr>
            <w:tcW w:type="dxa" w:w="2519"/>
            <w:shd w:fill="FFFFFF"/>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7. Activer le portail</w:t>
            </w:r>
          </w:p>
        </w:tc>
        <w:tc>
          <w:tcPr>
            <w:tcW w:type="dxa" w:w="7347"/>
            <w:shd w:fill="FFFFFF"/>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QR testé sur téléphone, file d’attente mise à jour</w:t>
            </w:r>
          </w:p>
        </w:tc>
      </w:tr>
      <w:tr>
        <w:trPr>
          <w:cantSplit w:val="true"/>
        </w:trPr>
        <w:tc>
          <w:tcPr>
            <w:tcW w:type="dxa" w:w="2519"/>
            <w:shd w:fill="F5F9FC"/>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8. Sauvegarder et valider</w:t>
            </w:r>
          </w:p>
        </w:tc>
        <w:tc>
          <w:tcPr>
            <w:tcW w:type="dxa" w:w="7347"/>
            <w:shd w:fill="F5F9FC"/>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Sauvegarde testée et procès-verbal de recette signé</w:t>
            </w:r>
          </w:p>
        </w:tc>
      </w:tr>
    </w:tbl>
    <w:p>
      <w:pPr>
        <w:spacing w:after="20"/>
      </w:pPr>
    </w:p>
    <w:tbl>
      <w:tblPr>
        <w:tblW w:type="dxa" w:w="9866"/>
        <w:jc w:val="left"/>
        <w:tblLayout w:type="fixed"/>
        <w:tblLook w:firstColumn="1" w:firstRow="1" w:lastColumn="0" w:lastRow="0" w:noHBand="0" w:noVBand="1" w:val="04A0"/>
        <w:tblInd w:type="dxa" w:w="120"/>
      </w:tblPr>
      <w:tblGrid>
        <w:gridCol w:w="9866"/>
      </w:tblGrid>
      <w:tr>
        <w:trPr>
          <w:tblHeader w:val="true"/>
        </w:trPr>
        <w:tc>
          <w:tcPr>
            <w:tcW w:type="dxa" w:w="9866"/>
            <w:shd w:fill="FFF4DE"/>
            <w:tcBorders>
              <w:top w:val="single" w:sz="8" w:color="B66A12"/>
              <w:left w:val="single" w:sz="8" w:color="B66A12"/>
              <w:bottom w:val="single" w:sz="8" w:color="B66A12"/>
              <w:right w:val="single" w:sz="8" w:color="B66A12"/>
              <w:insideH w:val="single" w:sz="8" w:color="B66A12"/>
              <w:insideV w:val="single" w:sz="8" w:color="B66A12"/>
            </w:tcBorders>
            <w:vAlign w:val="center"/>
            <w:tcMar>
              <w:top w:w="80" w:type="dxa"/>
              <w:bottom w:w="80" w:type="dxa"/>
              <w:start w:w="120" w:type="dxa"/>
              <w:end w:w="120" w:type="dxa"/>
            </w:tcMar>
          </w:tcPr>
          <w:p>
            <w:pPr>
              <w:spacing w:after="40"/>
            </w:pPr>
            <w:r>
              <w:rPr>
                <w:b/>
                <w:color w:val="B66A12"/>
              </w:rPr>
              <w:t>RÈGLE D’OR</w:t>
            </w:r>
          </w:p>
          <w:p>
            <w:pPr>
              <w:pStyle w:val="BodyCompact"/>
              <w:spacing w:after="0"/>
            </w:pPr>
            <w:r>
              <w:t>Le PC serveur doit rester allumé et MedCareSO doit rester ouvert pour que le portail patient local soit accessible.</w:t>
            </w:r>
          </w:p>
        </w:tc>
      </w:tr>
    </w:tbl>
    <w:p>
      <w:pPr>
        <w:spacing w:after="20"/>
      </w:pPr>
    </w:p>
    <w:p>
      <w:pPr>
        <w:pStyle w:val="Heading1"/>
        <w:keepNext/>
      </w:pPr>
      <w:r>
        <w:t>1. Architecture cible</w:t>
      </w:r>
    </w:p>
    <w:p>
      <w:pPr>
        <w:pStyle w:val="BodyCompact"/>
      </w:pPr>
      <w:r>
        <w:t>Le cabinet possède une seule base de données PostgreSQL. Elle se trouve sur un poste serveur du cabinet et est partagée uniquement sur le réseau local. Tous les postes MedCareSO lisent et écrivent dans cette même base.</w:t>
      </w:r>
    </w:p>
    <w:tbl>
      <w:tblPr>
        <w:tblStyle w:val="TableGrid"/>
        <w:tblW w:type="dxa" w:w="9866"/>
        <w:jc w:val="left"/>
        <w:tblLayout w:type="fixed"/>
        <w:tblLook w:firstColumn="1" w:firstRow="1" w:lastColumn="0" w:lastRow="0" w:noHBand="0" w:noVBand="1" w:val="04A0"/>
        <w:tblInd w:type="dxa" w:w="120"/>
      </w:tblPr>
      <w:tblGrid>
        <w:gridCol w:w="2395"/>
        <w:gridCol w:w="3257"/>
        <w:gridCol w:w="4214"/>
      </w:tblGrid>
      <w:tr>
        <w:trPr>
          <w:tblHeader w:val="true"/>
          <w:cantSplit w:val="true"/>
        </w:trPr>
        <w:tc>
          <w:tcPr>
            <w:tcW w:type="dxa" w:w="2395"/>
            <w:shd w:fill="183B56"/>
            <w:tcBorders>
              <w:top w:val="single" w:sz="6" w:color="183B56"/>
              <w:left w:val="single" w:sz="6" w:color="183B56"/>
              <w:bottom w:val="single" w:sz="6" w:color="183B56"/>
              <w:right w:val="single" w:sz="6" w:color="183B56"/>
              <w:insideH w:val="single" w:sz="6" w:color="183B56"/>
              <w:insideV w:val="single" w:sz="6" w:color="183B56"/>
            </w:tcBorders>
            <w:vAlign w:val="center"/>
            <w:tcMar>
              <w:top w:w="50" w:type="dxa"/>
              <w:bottom w:w="50" w:type="dxa"/>
              <w:start w:w="120" w:type="dxa"/>
              <w:end w:w="120" w:type="dxa"/>
            </w:tcMar>
          </w:tcPr>
          <w:p>
            <w:pPr>
              <w:spacing w:after="0"/>
            </w:pPr>
            <w:r>
              <w:rPr>
                <w:b/>
                <w:color w:val="FFFFFF"/>
                <w:sz w:val="17"/>
              </w:rPr>
              <w:t>ÉLÉMENT</w:t>
            </w:r>
          </w:p>
        </w:tc>
        <w:tc>
          <w:tcPr>
            <w:tcW w:type="dxa" w:w="3257"/>
            <w:shd w:fill="183B56"/>
            <w:tcBorders>
              <w:top w:val="single" w:sz="6" w:color="183B56"/>
              <w:left w:val="single" w:sz="6" w:color="183B56"/>
              <w:bottom w:val="single" w:sz="6" w:color="183B56"/>
              <w:right w:val="single" w:sz="6" w:color="183B56"/>
              <w:insideH w:val="single" w:sz="6" w:color="183B56"/>
              <w:insideV w:val="single" w:sz="6" w:color="183B56"/>
            </w:tcBorders>
            <w:vAlign w:val="center"/>
            <w:tcMar>
              <w:top w:w="50" w:type="dxa"/>
              <w:bottom w:w="50" w:type="dxa"/>
              <w:start w:w="120" w:type="dxa"/>
              <w:end w:w="120" w:type="dxa"/>
            </w:tcMar>
          </w:tcPr>
          <w:p>
            <w:pPr>
              <w:spacing w:after="0"/>
            </w:pPr>
            <w:r>
              <w:rPr>
                <w:b/>
                <w:color w:val="FFFFFF"/>
                <w:sz w:val="17"/>
              </w:rPr>
              <w:t>CONTENU</w:t>
            </w:r>
          </w:p>
        </w:tc>
        <w:tc>
          <w:tcPr>
            <w:tcW w:type="dxa" w:w="4214"/>
            <w:shd w:fill="183B56"/>
            <w:tcBorders>
              <w:top w:val="single" w:sz="6" w:color="183B56"/>
              <w:left w:val="single" w:sz="6" w:color="183B56"/>
              <w:bottom w:val="single" w:sz="6" w:color="183B56"/>
              <w:right w:val="single" w:sz="6" w:color="183B56"/>
              <w:insideH w:val="single" w:sz="6" w:color="183B56"/>
              <w:insideV w:val="single" w:sz="6" w:color="183B56"/>
            </w:tcBorders>
            <w:vAlign w:val="center"/>
            <w:tcMar>
              <w:top w:w="50" w:type="dxa"/>
              <w:bottom w:w="50" w:type="dxa"/>
              <w:start w:w="120" w:type="dxa"/>
              <w:end w:w="120" w:type="dxa"/>
            </w:tcMar>
          </w:tcPr>
          <w:p>
            <w:pPr>
              <w:spacing w:after="0"/>
            </w:pPr>
            <w:r>
              <w:rPr>
                <w:b/>
                <w:color w:val="FFFFFF"/>
                <w:sz w:val="17"/>
              </w:rPr>
              <w:t>CONNEXION</w:t>
            </w:r>
          </w:p>
        </w:tc>
      </w:tr>
      <w:tr>
        <w:trPr>
          <w:cantSplit w:val="true"/>
        </w:trPr>
        <w:tc>
          <w:tcPr>
            <w:tcW w:type="dxa" w:w="2395"/>
            <w:shd w:fill="FFFFFF"/>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PC serveur / principal</w:t>
            </w:r>
          </w:p>
        </w:tc>
        <w:tc>
          <w:tcPr>
            <w:tcW w:type="dxa" w:w="3257"/>
            <w:shd w:fill="FFFFFF"/>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PostgreSQL + MedCareSO + portail patient</w:t>
            </w:r>
          </w:p>
        </w:tc>
        <w:tc>
          <w:tcPr>
            <w:tcW w:type="dxa" w:w="4214"/>
            <w:shd w:fill="FFFFFF"/>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Base locale via 127.0.0.1:5432</w:t>
            </w:r>
          </w:p>
        </w:tc>
      </w:tr>
      <w:tr>
        <w:trPr>
          <w:cantSplit w:val="true"/>
        </w:trPr>
        <w:tc>
          <w:tcPr>
            <w:tcW w:type="dxa" w:w="2395"/>
            <w:shd w:fill="F5F9FC"/>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PC client</w:t>
            </w:r>
          </w:p>
        </w:tc>
        <w:tc>
          <w:tcPr>
            <w:tcW w:type="dxa" w:w="3257"/>
            <w:shd w:fill="F5F9FC"/>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MedCareSO uniquement</w:t>
            </w:r>
          </w:p>
        </w:tc>
        <w:tc>
          <w:tcPr>
            <w:tcW w:type="dxa" w:w="4214"/>
            <w:shd w:fill="F5F9FC"/>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Base distante via IP_LAN_SERVEUR:5432</w:t>
            </w:r>
          </w:p>
        </w:tc>
      </w:tr>
      <w:tr>
        <w:trPr>
          <w:cantSplit w:val="true"/>
        </w:trPr>
        <w:tc>
          <w:tcPr>
            <w:tcW w:type="dxa" w:w="2395"/>
            <w:shd w:fill="FFFFFF"/>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Téléphone patient</w:t>
            </w:r>
          </w:p>
        </w:tc>
        <w:tc>
          <w:tcPr>
            <w:tcW w:type="dxa" w:w="3257"/>
            <w:shd w:fill="FFFFFF"/>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Navigateur web, aucune application à installer</w:t>
            </w:r>
          </w:p>
        </w:tc>
        <w:tc>
          <w:tcPr>
            <w:tcW w:type="dxa" w:w="4214"/>
            <w:shd w:fill="FFFFFF"/>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Portail via http://IP_LAN_SERVEUR:4580/rdv/TOKEN</w:t>
            </w:r>
          </w:p>
        </w:tc>
      </w:tr>
      <w:tr>
        <w:trPr>
          <w:cantSplit w:val="true"/>
        </w:trPr>
        <w:tc>
          <w:tcPr>
            <w:tcW w:type="dxa" w:w="2395"/>
            <w:shd w:fill="F5F9FC"/>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Support de sauvegarde</w:t>
            </w:r>
          </w:p>
        </w:tc>
        <w:tc>
          <w:tcPr>
            <w:tcW w:type="dxa" w:w="3257"/>
            <w:shd w:fill="F5F9FC"/>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Copies chiffrées de la base</w:t>
            </w:r>
          </w:p>
        </w:tc>
        <w:tc>
          <w:tcPr>
            <w:tcW w:type="dxa" w:w="4214"/>
            <w:shd w:fill="F5F9FC"/>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Disque externe ou stockage hors du poste serveur</w:t>
            </w:r>
          </w:p>
        </w:tc>
      </w:tr>
    </w:tbl>
    <w:p>
      <w:pPr>
        <w:spacing w:after="20"/>
      </w:pPr>
    </w:p>
    <w:tbl>
      <w:tblPr>
        <w:tblW w:type="dxa" w:w="9866"/>
        <w:jc w:val="left"/>
        <w:tblLayout w:type="fixed"/>
        <w:tblLook w:firstColumn="1" w:firstRow="1" w:lastColumn="0" w:lastRow="0" w:noHBand="0" w:noVBand="1" w:val="04A0"/>
        <w:tblInd w:type="dxa" w:w="120"/>
      </w:tblPr>
      <w:tblGrid>
        <w:gridCol w:w="9866"/>
      </w:tblGrid>
      <w:tr>
        <w:trPr>
          <w:tblHeader w:val="true"/>
        </w:trPr>
        <w:tc>
          <w:tcPr>
            <w:tcW w:type="dxa" w:w="9866"/>
            <w:shd w:fill="FCECEC"/>
            <w:tcBorders>
              <w:top w:val="single" w:sz="8" w:color="A73535"/>
              <w:left w:val="single" w:sz="8" w:color="A73535"/>
              <w:bottom w:val="single" w:sz="8" w:color="A73535"/>
              <w:right w:val="single" w:sz="8" w:color="A73535"/>
              <w:insideH w:val="single" w:sz="8" w:color="A73535"/>
              <w:insideV w:val="single" w:sz="8" w:color="A73535"/>
            </w:tcBorders>
            <w:vAlign w:val="center"/>
            <w:tcMar>
              <w:top w:w="80" w:type="dxa"/>
              <w:bottom w:w="80" w:type="dxa"/>
              <w:start w:w="120" w:type="dxa"/>
              <w:end w:w="120" w:type="dxa"/>
            </w:tcMar>
          </w:tcPr>
          <w:p>
            <w:pPr>
              <w:spacing w:after="40"/>
            </w:pPr>
            <w:r>
              <w:rPr>
                <w:b/>
                <w:color w:val="A73535"/>
              </w:rPr>
              <w:t>À NE PAS FAIRE</w:t>
            </w:r>
          </w:p>
          <w:p>
            <w:pPr>
              <w:pStyle w:val="BodyCompact"/>
              <w:spacing w:after="0"/>
            </w:pPr>
            <w:r>
              <w:t>Ne pas utiliser 127.0.0.1 sur un PC client : cette adresse désigne le PC client lui-même, pas le serveur.</w:t>
            </w:r>
          </w:p>
        </w:tc>
      </w:tr>
    </w:tbl>
    <w:p>
      <w:pPr>
        <w:spacing w:after="20"/>
      </w:pPr>
    </w:p>
    <w:p>
      <w:pPr>
        <w:pStyle w:val="Heading1"/>
        <w:keepNext/>
      </w:pPr>
      <w:r>
        <w:t>2. Avant de commencer</w:t>
      </w:r>
    </w:p>
    <w:p>
      <w:pPr>
        <w:pStyle w:val="Heading2"/>
        <w:keepNext/>
      </w:pPr>
      <w:r>
        <w:t>2.1 Choisir le bon scénario</w:t>
      </w:r>
    </w:p>
    <w:tbl>
      <w:tblPr>
        <w:tblStyle w:val="TableGrid"/>
        <w:tblW w:type="dxa" w:w="9866"/>
        <w:jc w:val="left"/>
        <w:tblLayout w:type="fixed"/>
        <w:tblLook w:firstColumn="1" w:firstRow="1" w:lastColumn="0" w:lastRow="0" w:noHBand="0" w:noVBand="1" w:val="04A0"/>
        <w:tblInd w:type="dxa" w:w="120"/>
      </w:tblPr>
      <w:tblGrid>
        <w:gridCol w:w="4933"/>
        <w:gridCol w:w="4933"/>
      </w:tblGrid>
      <w:tr>
        <w:trPr>
          <w:tblHeader w:val="true"/>
          <w:cantSplit w:val="true"/>
        </w:trPr>
        <w:tc>
          <w:tcPr>
            <w:tcW w:type="dxa" w:w="4933"/>
            <w:shd w:fill="183B56"/>
            <w:tcBorders>
              <w:top w:val="single" w:sz="6" w:color="183B56"/>
              <w:left w:val="single" w:sz="6" w:color="183B56"/>
              <w:bottom w:val="single" w:sz="6" w:color="183B56"/>
              <w:right w:val="single" w:sz="6" w:color="183B56"/>
              <w:insideH w:val="single" w:sz="6" w:color="183B56"/>
              <w:insideV w:val="single" w:sz="6" w:color="183B56"/>
            </w:tcBorders>
            <w:vAlign w:val="center"/>
            <w:tcMar>
              <w:top w:w="50" w:type="dxa"/>
              <w:bottom w:w="50" w:type="dxa"/>
              <w:start w:w="120" w:type="dxa"/>
              <w:end w:w="120" w:type="dxa"/>
            </w:tcMar>
          </w:tcPr>
          <w:p>
            <w:pPr>
              <w:spacing w:after="0"/>
            </w:pPr>
            <w:r>
              <w:rPr>
                <w:b/>
                <w:color w:val="FFFFFF"/>
                <w:sz w:val="17"/>
              </w:rPr>
              <w:t>NOUVEAU CABINET</w:t>
            </w:r>
          </w:p>
        </w:tc>
        <w:tc>
          <w:tcPr>
            <w:tcW w:type="dxa" w:w="4933"/>
            <w:shd w:fill="183B56"/>
            <w:tcBorders>
              <w:top w:val="single" w:sz="6" w:color="183B56"/>
              <w:left w:val="single" w:sz="6" w:color="183B56"/>
              <w:bottom w:val="single" w:sz="6" w:color="183B56"/>
              <w:right w:val="single" w:sz="6" w:color="183B56"/>
              <w:insideH w:val="single" w:sz="6" w:color="183B56"/>
              <w:insideV w:val="single" w:sz="6" w:color="183B56"/>
            </w:tcBorders>
            <w:vAlign w:val="center"/>
            <w:tcMar>
              <w:top w:w="50" w:type="dxa"/>
              <w:bottom w:w="50" w:type="dxa"/>
              <w:start w:w="120" w:type="dxa"/>
              <w:end w:w="120" w:type="dxa"/>
            </w:tcMar>
          </w:tcPr>
          <w:p>
            <w:pPr>
              <w:spacing w:after="0"/>
            </w:pPr>
            <w:r>
              <w:rPr>
                <w:b/>
                <w:color w:val="FFFFFF"/>
                <w:sz w:val="17"/>
              </w:rPr>
              <w:t>CABINET EXISTANT</w:t>
            </w:r>
          </w:p>
        </w:tc>
      </w:tr>
      <w:tr>
        <w:trPr>
          <w:cantSplit w:val="true"/>
        </w:trPr>
        <w:tc>
          <w:tcPr>
            <w:tcW w:type="dxa" w:w="4933"/>
            <w:shd w:fill="FFFFFF"/>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Créer une base vide avec le script PostgreSQL complet.</w:t>
            </w:r>
          </w:p>
        </w:tc>
        <w:tc>
          <w:tcPr>
            <w:tcW w:type="dxa" w:w="4933"/>
            <w:shd w:fill="FFFFFF"/>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Ne jamais travailler sur l’unique base historique.</w:t>
            </w:r>
          </w:p>
        </w:tc>
      </w:tr>
      <w:tr>
        <w:trPr>
          <w:cantSplit w:val="true"/>
        </w:trPr>
        <w:tc>
          <w:tcPr>
            <w:tcW w:type="dxa" w:w="4933"/>
            <w:shd w:fill="F5F9FC"/>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Laisser MedCareSO appliquer ses migrations au premier lancement.</w:t>
            </w:r>
          </w:p>
        </w:tc>
        <w:tc>
          <w:tcPr>
            <w:tcW w:type="dxa" w:w="4933"/>
            <w:shd w:fill="F5F9FC"/>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Copier la base, migrer sur un poste de test, puis comparer les données.</w:t>
            </w:r>
          </w:p>
        </w:tc>
      </w:tr>
      <w:tr>
        <w:trPr>
          <w:cantSplit w:val="true"/>
        </w:trPr>
        <w:tc>
          <w:tcPr>
            <w:tcW w:type="dxa" w:w="4933"/>
            <w:shd w:fill="FFFFFF"/>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Créer les comptes et paramètres après validation.</w:t>
            </w:r>
          </w:p>
        </w:tc>
        <w:tc>
          <w:tcPr>
            <w:tcW w:type="dxa" w:w="4933"/>
            <w:shd w:fill="FFFFFF"/>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Faire une sauvegarde finale avant la bascule et conserver l’ancienne base 1 à 2 mois.</w:t>
            </w:r>
          </w:p>
        </w:tc>
      </w:tr>
    </w:tbl>
    <w:p>
      <w:pPr>
        <w:spacing w:after="20"/>
      </w:pPr>
    </w:p>
    <w:p>
      <w:pPr>
        <w:pStyle w:val="Heading2"/>
        <w:keepNext/>
      </w:pPr>
      <w:r>
        <w:t>2.2 Fiche de préparation</w:t>
      </w:r>
    </w:p>
    <w:tbl>
      <w:tblPr>
        <w:tblStyle w:val="TableGrid"/>
        <w:tblW w:type="dxa" w:w="9866"/>
        <w:jc w:val="left"/>
        <w:tblLayout w:type="fixed"/>
        <w:tblLook w:firstColumn="1" w:firstRow="1" w:lastColumn="0" w:lastRow="0" w:noHBand="0" w:noVBand="1" w:val="04A0"/>
        <w:tblInd w:type="dxa" w:w="120"/>
      </w:tblPr>
      <w:tblGrid>
        <w:gridCol w:w="3206"/>
        <w:gridCol w:w="6660"/>
      </w:tblGrid>
      <w:tr>
        <w:trPr>
          <w:tblHeader w:val="true"/>
          <w:cantSplit w:val="true"/>
        </w:trPr>
        <w:tc>
          <w:tcPr>
            <w:tcW w:type="dxa" w:w="3206"/>
            <w:shd w:fill="183B56"/>
            <w:tcBorders>
              <w:top w:val="single" w:sz="6" w:color="183B56"/>
              <w:left w:val="single" w:sz="6" w:color="183B56"/>
              <w:bottom w:val="single" w:sz="6" w:color="183B56"/>
              <w:right w:val="single" w:sz="6" w:color="183B56"/>
              <w:insideH w:val="single" w:sz="6" w:color="183B56"/>
              <w:insideV w:val="single" w:sz="6" w:color="183B56"/>
            </w:tcBorders>
            <w:vAlign w:val="center"/>
            <w:tcMar>
              <w:top w:w="50" w:type="dxa"/>
              <w:bottom w:w="50" w:type="dxa"/>
              <w:start w:w="120" w:type="dxa"/>
              <w:end w:w="120" w:type="dxa"/>
            </w:tcMar>
          </w:tcPr>
          <w:p>
            <w:pPr>
              <w:spacing w:after="0"/>
            </w:pPr>
            <w:r>
              <w:rPr>
                <w:b/>
                <w:color w:val="FFFFFF"/>
                <w:sz w:val="17"/>
              </w:rPr>
              <w:t>INFORMATION</w:t>
            </w:r>
          </w:p>
        </w:tc>
        <w:tc>
          <w:tcPr>
            <w:tcW w:type="dxa" w:w="6660"/>
            <w:shd w:fill="183B56"/>
            <w:tcBorders>
              <w:top w:val="single" w:sz="6" w:color="183B56"/>
              <w:left w:val="single" w:sz="6" w:color="183B56"/>
              <w:bottom w:val="single" w:sz="6" w:color="183B56"/>
              <w:right w:val="single" w:sz="6" w:color="183B56"/>
              <w:insideH w:val="single" w:sz="6" w:color="183B56"/>
              <w:insideV w:val="single" w:sz="6" w:color="183B56"/>
            </w:tcBorders>
            <w:vAlign w:val="center"/>
            <w:tcMar>
              <w:top w:w="50" w:type="dxa"/>
              <w:bottom w:w="50" w:type="dxa"/>
              <w:start w:w="120" w:type="dxa"/>
              <w:end w:w="120" w:type="dxa"/>
            </w:tcMar>
          </w:tcPr>
          <w:p>
            <w:pPr>
              <w:spacing w:after="0"/>
            </w:pPr>
            <w:r>
              <w:rPr>
                <w:b/>
                <w:color w:val="FFFFFF"/>
                <w:sz w:val="17"/>
              </w:rPr>
              <w:t>À RENSEIGNER</w:t>
            </w:r>
          </w:p>
        </w:tc>
      </w:tr>
      <w:tr>
        <w:trPr>
          <w:cantSplit w:val="true"/>
        </w:trPr>
        <w:tc>
          <w:tcPr>
            <w:tcW w:type="dxa" w:w="3206"/>
            <w:shd w:fill="FFFFFF"/>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Nom du cabinet / responsable</w:t>
            </w:r>
          </w:p>
        </w:tc>
        <w:tc>
          <w:tcPr>
            <w:tcW w:type="dxa" w:w="6660"/>
            <w:shd w:fill="FFFFFF"/>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____________________________________________</w:t>
            </w:r>
          </w:p>
        </w:tc>
      </w:tr>
      <w:tr>
        <w:trPr>
          <w:cantSplit w:val="true"/>
        </w:trPr>
        <w:tc>
          <w:tcPr>
            <w:tcW w:type="dxa" w:w="3206"/>
            <w:shd w:fill="F5F9FC"/>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Nom du PC serveur</w:t>
            </w:r>
          </w:p>
        </w:tc>
        <w:tc>
          <w:tcPr>
            <w:tcW w:type="dxa" w:w="6660"/>
            <w:shd w:fill="F5F9FC"/>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____________________________________________</w:t>
            </w:r>
          </w:p>
        </w:tc>
      </w:tr>
      <w:tr>
        <w:trPr>
          <w:cantSplit w:val="true"/>
        </w:trPr>
        <w:tc>
          <w:tcPr>
            <w:tcW w:type="dxa" w:w="3206"/>
            <w:shd w:fill="FFFFFF"/>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IPv4 réservée / sous-réseau</w:t>
            </w:r>
          </w:p>
        </w:tc>
        <w:tc>
          <w:tcPr>
            <w:tcW w:type="dxa" w:w="6660"/>
            <w:shd w:fill="FFFFFF"/>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____________________________________________</w:t>
            </w:r>
          </w:p>
        </w:tc>
      </w:tr>
      <w:tr>
        <w:trPr>
          <w:cantSplit w:val="true"/>
        </w:trPr>
        <w:tc>
          <w:tcPr>
            <w:tcW w:type="dxa" w:w="3206"/>
            <w:shd w:fill="F5F9FC"/>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Nombre de postes clients</w:t>
            </w:r>
          </w:p>
        </w:tc>
        <w:tc>
          <w:tcPr>
            <w:tcW w:type="dxa" w:w="6660"/>
            <w:shd w:fill="F5F9FC"/>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____________________________________________</w:t>
            </w:r>
          </w:p>
        </w:tc>
      </w:tr>
      <w:tr>
        <w:trPr>
          <w:cantSplit w:val="true"/>
        </w:trPr>
        <w:tc>
          <w:tcPr>
            <w:tcW w:type="dxa" w:w="3206"/>
            <w:shd w:fill="FFFFFF"/>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Chemin des sauvegardes</w:t>
            </w:r>
          </w:p>
        </w:tc>
        <w:tc>
          <w:tcPr>
            <w:tcW w:type="dxa" w:w="6660"/>
            <w:shd w:fill="FFFFFF"/>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____________________________________________</w:t>
            </w:r>
          </w:p>
        </w:tc>
      </w:tr>
      <w:tr>
        <w:trPr>
          <w:cantSplit w:val="true"/>
        </w:trPr>
        <w:tc>
          <w:tcPr>
            <w:tcW w:type="dxa" w:w="3206"/>
            <w:shd w:fill="F5F9FC"/>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Installateur / date</w:t>
            </w:r>
          </w:p>
        </w:tc>
        <w:tc>
          <w:tcPr>
            <w:tcW w:type="dxa" w:w="6660"/>
            <w:shd w:fill="F5F9FC"/>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____________________________________________</w:t>
            </w:r>
          </w:p>
        </w:tc>
      </w:tr>
    </w:tbl>
    <w:p>
      <w:pPr>
        <w:spacing w:after="20"/>
      </w:pPr>
    </w:p>
    <w:p>
      <w:pPr>
        <w:pStyle w:val="Heading2"/>
        <w:keepNext/>
      </w:pPr>
      <w:r>
        <w:t>2.3 Prérequis</w:t>
      </w:r>
    </w:p>
    <w:p>
      <w:pPr>
        <w:pStyle w:val="BodyCompact"/>
        <w:numPr>
          <w:ilvl w:val="0"/>
          <w:numId w:val="10"/>
        </w:numPr>
      </w:pPr>
      <w:r>
        <w:t>Windows 10 ou Windows 11, 64 bits, avec un compte administrateur pour l’installation.</w:t>
      </w:r>
    </w:p>
    <w:p>
      <w:pPr>
        <w:pStyle w:val="BodyCompact"/>
        <w:numPr>
          <w:ilvl w:val="0"/>
          <w:numId w:val="10"/>
        </w:numPr>
      </w:pPr>
      <w:r>
        <w:t>Un poste serveur fiable, idéalement protégé par un onduleur, avec assez d’espace disque.</w:t>
      </w:r>
    </w:p>
    <w:p>
      <w:pPr>
        <w:pStyle w:val="BodyCompact"/>
        <w:numPr>
          <w:ilvl w:val="0"/>
          <w:numId w:val="10"/>
        </w:numPr>
      </w:pPr>
      <w:r>
        <w:t>Tous les équipements connectés au même réseau privé du cabinet ; éviter le Wi-Fi invité.</w:t>
      </w:r>
    </w:p>
    <w:p>
      <w:pPr>
        <w:pStyle w:val="BodyCompact"/>
        <w:numPr>
          <w:ilvl w:val="0"/>
          <w:numId w:val="10"/>
        </w:numPr>
      </w:pPr>
      <w:r>
        <w:t>L’installateur MedCareSO 2.1.1 et le dossier SETUP_WINDOWS contenant le script PostgreSQL.</w:t>
      </w:r>
    </w:p>
    <w:p>
      <w:pPr>
        <w:pStyle w:val="BodyCompact"/>
        <w:numPr>
          <w:ilvl w:val="0"/>
          <w:numId w:val="10"/>
        </w:numPr>
      </w:pPr>
      <w:r>
        <w:t>PostgreSQL installé sur le serveur. Node.js et npm ne sont pas nécessaires sur les postes clients.</w:t>
      </w:r>
    </w:p>
    <w:p>
      <w:pPr>
        <w:pStyle w:val="BodyCompact"/>
        <w:numPr>
          <w:ilvl w:val="0"/>
          <w:numId w:val="10"/>
        </w:numPr>
      </w:pPr>
      <w:r>
        <w:t>Les mots de passe administrateur PostgreSQL et cabinet_app conservés dans un support sécurisé séparé.</w:t>
      </w:r>
    </w:p>
    <w:p>
      <w:pPr>
        <w:pStyle w:val="Heading1"/>
        <w:keepNext/>
      </w:pPr>
      <w:r>
        <w:t>3. Préparer le réseau du cabinet</w:t>
      </w:r>
    </w:p>
    <w:p>
      <w:pPr>
        <w:pStyle w:val="BodyCompact"/>
        <w:numPr>
          <w:ilvl w:val="0"/>
          <w:numId w:val="11"/>
        </w:numPr>
      </w:pPr>
      <w:r>
        <w:t>Donner un nom clair au serveur, par exemple MEDCARESO-SRV.</w:t>
      </w:r>
    </w:p>
    <w:p>
      <w:pPr>
        <w:pStyle w:val="BodyCompact"/>
        <w:numPr>
          <w:ilvl w:val="0"/>
          <w:numId w:val="11"/>
        </w:numPr>
      </w:pPr>
      <w:r>
        <w:t>Dans le routeur, réserver une IPv4 au serveur par DHCP afin qu’elle ne change pas.</w:t>
      </w:r>
    </w:p>
    <w:p>
      <w:pPr>
        <w:pStyle w:val="BodyCompact"/>
        <w:numPr>
          <w:ilvl w:val="0"/>
          <w:numId w:val="11"/>
        </w:numPr>
      </w:pPr>
      <w:r>
        <w:t>Sur le serveur, exécuter ipconfig et noter l’IPv4 et le masque. Exemple : 192.168.1.86 / 255.255.255.0.</w:t>
      </w:r>
    </w:p>
    <w:p>
      <w:pPr>
        <w:pStyle w:val="BodyCompact"/>
        <w:numPr>
          <w:ilvl w:val="0"/>
          <w:numId w:val="11"/>
        </w:numPr>
      </w:pPr>
      <w:r>
        <w:t>Vérifier que les postes et téléphones sont dans le même sous-réseau et que l’isolation des clients Wi-Fi est désactivée.</w:t>
      </w:r>
    </w:p>
    <w:p>
      <w:pPr>
        <w:pStyle w:val="BodyCompact"/>
        <w:numPr>
          <w:ilvl w:val="0"/>
          <w:numId w:val="11"/>
        </w:numPr>
      </w:pPr>
      <w:r>
        <w:t>Conserver cette adresse dans la fiche de remise ; elle sera utilisée par les postes clients et le QR code.</w:t>
      </w:r>
    </w:p>
    <w:p>
      <w:pPr>
        <w:pStyle w:val="CodeBlock"/>
      </w:pPr>
      <w:r>
        <w:t>ipconfig</w:t>
      </w:r>
    </w:p>
    <w:tbl>
      <w:tblPr>
        <w:tblW w:type="dxa" w:w="9866"/>
        <w:jc w:val="left"/>
        <w:tblLayout w:type="fixed"/>
        <w:tblLook w:firstColumn="1" w:firstRow="1" w:lastColumn="0" w:lastRow="0" w:noHBand="0" w:noVBand="1" w:val="04A0"/>
        <w:tblInd w:type="dxa" w:w="120"/>
      </w:tblPr>
      <w:tblGrid>
        <w:gridCol w:w="9866"/>
      </w:tblGrid>
      <w:tr>
        <w:trPr>
          <w:tblHeader w:val="true"/>
        </w:trPr>
        <w:tc>
          <w:tcPr>
            <w:tcW w:type="dxa" w:w="9866"/>
            <w:shd w:fill="EAF3F8"/>
            <w:tcBorders>
              <w:top w:val="single" w:sz="8" w:color="236A9B"/>
              <w:left w:val="single" w:sz="8" w:color="236A9B"/>
              <w:bottom w:val="single" w:sz="8" w:color="236A9B"/>
              <w:right w:val="single" w:sz="8" w:color="236A9B"/>
              <w:insideH w:val="single" w:sz="8" w:color="236A9B"/>
              <w:insideV w:val="single" w:sz="8" w:color="236A9B"/>
            </w:tcBorders>
            <w:vAlign w:val="center"/>
            <w:tcMar>
              <w:top w:w="80" w:type="dxa"/>
              <w:bottom w:w="80" w:type="dxa"/>
              <w:start w:w="120" w:type="dxa"/>
              <w:end w:w="120" w:type="dxa"/>
            </w:tcMar>
          </w:tcPr>
          <w:p>
            <w:pPr>
              <w:spacing w:after="40"/>
            </w:pPr>
            <w:r>
              <w:rPr>
                <w:b/>
                <w:color w:val="236A9B"/>
              </w:rPr>
              <w:t>EXEMPLE</w:t>
            </w:r>
          </w:p>
          <w:p>
            <w:pPr>
              <w:pStyle w:val="BodyCompact"/>
              <w:spacing w:after="0"/>
            </w:pPr>
            <w:r>
              <w:t>Si le serveur est 192.168.1.86 et le réseau est /24, les clients sont généralement autorisés dans 192.168.1.0/24.</w:t>
            </w:r>
          </w:p>
        </w:tc>
      </w:tr>
    </w:tbl>
    <w:p>
      <w:pPr>
        <w:spacing w:after="20"/>
      </w:pPr>
    </w:p>
    <w:p>
      <w:pPr>
        <w:pStyle w:val="Heading1"/>
        <w:keepNext/>
      </w:pPr>
      <w:r>
        <w:t>4. Installer et préparer PostgreSQL sur le serveur</w:t>
      </w:r>
    </w:p>
    <w:p>
      <w:pPr>
        <w:pStyle w:val="Heading2"/>
        <w:keepNext/>
      </w:pPr>
      <w:r>
        <w:t>4.1 Installer le moteur</w:t>
      </w:r>
    </w:p>
    <w:p>
      <w:pPr>
        <w:pStyle w:val="BodyCompact"/>
        <w:numPr>
          <w:ilvl w:val="0"/>
          <w:numId w:val="10"/>
        </w:numPr>
      </w:pPr>
      <w:r>
        <w:t>Installer PostgreSQL et les outils en ligne de commande. pgAdmin peut être installé pour l’administration.</w:t>
      </w:r>
    </w:p>
    <w:p>
      <w:pPr>
        <w:pStyle w:val="BodyCompact"/>
        <w:numPr>
          <w:ilvl w:val="0"/>
          <w:numId w:val="10"/>
        </w:numPr>
      </w:pPr>
      <w:r>
        <w:t>Conserver le port 5432 sauf contrainte documentée.</w:t>
      </w:r>
    </w:p>
    <w:p>
      <w:pPr>
        <w:pStyle w:val="BodyCompact"/>
        <w:numPr>
          <w:ilvl w:val="0"/>
          <w:numId w:val="10"/>
        </w:numPr>
      </w:pPr>
      <w:r>
        <w:t>Définir un mot de passe fort pour l’administrateur postgres et le remettre séparément.</w:t>
      </w:r>
    </w:p>
    <w:p>
      <w:pPr>
        <w:pStyle w:val="BodyCompact"/>
        <w:numPr>
          <w:ilvl w:val="0"/>
          <w:numId w:val="10"/>
        </w:numPr>
      </w:pPr>
      <w:r>
        <w:t>Ouvrir services.msc et vérifier que le service PostgreSQL est En cours d’exécution et en démarrage automatique.</w:t>
      </w:r>
    </w:p>
    <w:p>
      <w:pPr>
        <w:pStyle w:val="Heading2"/>
        <w:keepNext/>
      </w:pPr>
      <w:r>
        <w:t>4.2 Créer cabinet_db et cabinet_app</w:t>
      </w:r>
    </w:p>
    <w:p>
      <w:pPr>
        <w:pStyle w:val="BodyCompact"/>
      </w:pPr>
      <w:r>
        <w:t>Depuis un terminal administrateur, lancer le script fourni. Il crée ou met à jour le rôle cabinet_app, crée la base cabinet_db avec le bon propriétaire et attribue les privilèges nécessaires. Le script demande le mot de passe applicatif sans l’écrire en clair dans le fichier.</w:t>
      </w:r>
    </w:p>
    <w:p>
      <w:pPr>
        <w:pStyle w:val="CodeBlock"/>
      </w:pPr>
      <w:r>
        <w:t>psql -U postgres -f "SETUP_WINDOWS\SCRIPT_POSTGRESQL_COMPLET.sql"</w:t>
      </w:r>
    </w:p>
    <w:tbl>
      <w:tblPr>
        <w:tblStyle w:val="TableGrid"/>
        <w:tblW w:type="dxa" w:w="9866"/>
        <w:jc w:val="left"/>
        <w:tblLayout w:type="fixed"/>
        <w:tblLook w:firstColumn="1" w:firstRow="1" w:lastColumn="0" w:lastRow="0" w:noHBand="0" w:noVBand="1" w:val="04A0"/>
        <w:tblInd w:type="dxa" w:w="120"/>
      </w:tblPr>
      <w:tblGrid>
        <w:gridCol w:w="2960"/>
        <w:gridCol w:w="6906"/>
      </w:tblGrid>
      <w:tr>
        <w:trPr>
          <w:tblHeader w:val="true"/>
          <w:cantSplit w:val="true"/>
        </w:trPr>
        <w:tc>
          <w:tcPr>
            <w:tcW w:type="dxa" w:w="2960"/>
            <w:shd w:fill="183B56"/>
            <w:tcBorders>
              <w:top w:val="single" w:sz="6" w:color="183B56"/>
              <w:left w:val="single" w:sz="6" w:color="183B56"/>
              <w:bottom w:val="single" w:sz="6" w:color="183B56"/>
              <w:right w:val="single" w:sz="6" w:color="183B56"/>
              <w:insideH w:val="single" w:sz="6" w:color="183B56"/>
              <w:insideV w:val="single" w:sz="6" w:color="183B56"/>
            </w:tcBorders>
            <w:vAlign w:val="center"/>
            <w:tcMar>
              <w:top w:w="50" w:type="dxa"/>
              <w:bottom w:w="50" w:type="dxa"/>
              <w:start w:w="120" w:type="dxa"/>
              <w:end w:w="120" w:type="dxa"/>
            </w:tcMar>
          </w:tcPr>
          <w:p>
            <w:pPr>
              <w:spacing w:after="0"/>
            </w:pPr>
            <w:r>
              <w:rPr>
                <w:b/>
                <w:color w:val="FFFFFF"/>
                <w:sz w:val="17"/>
              </w:rPr>
              <w:t>PARAMÈTRE</w:t>
            </w:r>
          </w:p>
        </w:tc>
        <w:tc>
          <w:tcPr>
            <w:tcW w:type="dxa" w:w="6906"/>
            <w:shd w:fill="183B56"/>
            <w:tcBorders>
              <w:top w:val="single" w:sz="6" w:color="183B56"/>
              <w:left w:val="single" w:sz="6" w:color="183B56"/>
              <w:bottom w:val="single" w:sz="6" w:color="183B56"/>
              <w:right w:val="single" w:sz="6" w:color="183B56"/>
              <w:insideH w:val="single" w:sz="6" w:color="183B56"/>
              <w:insideV w:val="single" w:sz="6" w:color="183B56"/>
            </w:tcBorders>
            <w:vAlign w:val="center"/>
            <w:tcMar>
              <w:top w:w="50" w:type="dxa"/>
              <w:bottom w:w="50" w:type="dxa"/>
              <w:start w:w="120" w:type="dxa"/>
              <w:end w:w="120" w:type="dxa"/>
            </w:tcMar>
          </w:tcPr>
          <w:p>
            <w:pPr>
              <w:spacing w:after="0"/>
            </w:pPr>
            <w:r>
              <w:rPr>
                <w:b/>
                <w:color w:val="FFFFFF"/>
                <w:sz w:val="17"/>
              </w:rPr>
              <w:t>VALEUR</w:t>
            </w:r>
          </w:p>
        </w:tc>
      </w:tr>
      <w:tr>
        <w:trPr>
          <w:cantSplit w:val="true"/>
        </w:trPr>
        <w:tc>
          <w:tcPr>
            <w:tcW w:type="dxa" w:w="2960"/>
            <w:shd w:fill="FFFFFF"/>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Base</w:t>
            </w:r>
          </w:p>
        </w:tc>
        <w:tc>
          <w:tcPr>
            <w:tcW w:type="dxa" w:w="6906"/>
            <w:shd w:fill="FFFFFF"/>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cabinet_db</w:t>
            </w:r>
          </w:p>
        </w:tc>
      </w:tr>
      <w:tr>
        <w:trPr>
          <w:cantSplit w:val="true"/>
        </w:trPr>
        <w:tc>
          <w:tcPr>
            <w:tcW w:type="dxa" w:w="2960"/>
            <w:shd w:fill="F5F9FC"/>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Utilisateur applicatif</w:t>
            </w:r>
          </w:p>
        </w:tc>
        <w:tc>
          <w:tcPr>
            <w:tcW w:type="dxa" w:w="6906"/>
            <w:shd w:fill="F5F9FC"/>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cabinet_app</w:t>
            </w:r>
          </w:p>
        </w:tc>
      </w:tr>
      <w:tr>
        <w:trPr>
          <w:cantSplit w:val="true"/>
        </w:trPr>
        <w:tc>
          <w:tcPr>
            <w:tcW w:type="dxa" w:w="2960"/>
            <w:shd w:fill="FFFFFF"/>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Mot de passe</w:t>
            </w:r>
          </w:p>
        </w:tc>
        <w:tc>
          <w:tcPr>
            <w:tcW w:type="dxa" w:w="6906"/>
            <w:shd w:fill="FFFFFF"/>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Secret unique du cabinet — ne pas reprendre un exemple du projet</w:t>
            </w:r>
          </w:p>
        </w:tc>
      </w:tr>
      <w:tr>
        <w:trPr>
          <w:cantSplit w:val="true"/>
        </w:trPr>
        <w:tc>
          <w:tcPr>
            <w:tcW w:type="dxa" w:w="2960"/>
            <w:shd w:fill="F5F9FC"/>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Port</w:t>
            </w:r>
          </w:p>
        </w:tc>
        <w:tc>
          <w:tcPr>
            <w:tcW w:type="dxa" w:w="6906"/>
            <w:shd w:fill="F5F9FC"/>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5432 par défaut</w:t>
            </w:r>
          </w:p>
        </w:tc>
      </w:tr>
    </w:tbl>
    <w:p>
      <w:pPr>
        <w:spacing w:after="20"/>
      </w:pPr>
    </w:p>
    <w:p>
      <w:pPr>
        <w:pStyle w:val="Heading2"/>
        <w:keepNext/>
      </w:pPr>
      <w:r>
        <w:t>4.3 Tester localement</w:t>
      </w:r>
    </w:p>
    <w:p>
      <w:pPr>
        <w:pStyle w:val="CodeBlock"/>
      </w:pPr>
      <w:r>
        <w:t>psql -h 127.0.0.1 -U cabinet_app -d cabinet_db -c "SELECT current_database(), current_user;"</w:t>
      </w:r>
    </w:p>
    <w:tbl>
      <w:tblPr>
        <w:tblW w:type="dxa" w:w="9866"/>
        <w:jc w:val="left"/>
        <w:tblLayout w:type="fixed"/>
        <w:tblLook w:firstColumn="1" w:firstRow="1" w:lastColumn="0" w:lastRow="0" w:noHBand="0" w:noVBand="1" w:val="04A0"/>
        <w:tblInd w:type="dxa" w:w="120"/>
      </w:tblPr>
      <w:tblGrid>
        <w:gridCol w:w="9866"/>
      </w:tblGrid>
      <w:tr>
        <w:trPr>
          <w:tblHeader w:val="true"/>
        </w:trPr>
        <w:tc>
          <w:tcPr>
            <w:tcW w:type="dxa" w:w="9866"/>
            <w:shd w:fill="EAF6F0"/>
            <w:tcBorders>
              <w:top w:val="single" w:sz="8" w:color="1F7A5A"/>
              <w:left w:val="single" w:sz="8" w:color="1F7A5A"/>
              <w:bottom w:val="single" w:sz="8" w:color="1F7A5A"/>
              <w:right w:val="single" w:sz="8" w:color="1F7A5A"/>
              <w:insideH w:val="single" w:sz="8" w:color="1F7A5A"/>
              <w:insideV w:val="single" w:sz="8" w:color="1F7A5A"/>
            </w:tcBorders>
            <w:vAlign w:val="center"/>
            <w:tcMar>
              <w:top w:w="80" w:type="dxa"/>
              <w:bottom w:w="80" w:type="dxa"/>
              <w:start w:w="120" w:type="dxa"/>
              <w:end w:w="120" w:type="dxa"/>
            </w:tcMar>
          </w:tcPr>
          <w:p>
            <w:pPr>
              <w:spacing w:after="40"/>
            </w:pPr>
            <w:r>
              <w:rPr>
                <w:b/>
                <w:color w:val="1F7A5A"/>
              </w:rPr>
              <w:t>RÉSULTAT ATTENDU</w:t>
            </w:r>
          </w:p>
          <w:p>
            <w:pPr>
              <w:pStyle w:val="BodyCompact"/>
              <w:spacing w:after="0"/>
            </w:pPr>
            <w:r>
              <w:t>La commande retourne cabinet_db et cabinet_app. Si elle échoue, corriger PostgreSQL avant d’installer MedCareSO.</w:t>
            </w:r>
          </w:p>
        </w:tc>
      </w:tr>
    </w:tbl>
    <w:p>
      <w:pPr>
        <w:spacing w:after="20"/>
      </w:pPr>
    </w:p>
    <w:p>
      <w:pPr>
        <w:pStyle w:val="Heading1"/>
        <w:keepNext/>
      </w:pPr>
      <w:r>
        <w:t>5. Autoriser PostgreSQL sur le réseau local</w:t>
      </w:r>
    </w:p>
    <w:p>
      <w:pPr>
        <w:pStyle w:val="Heading2"/>
        <w:keepNext/>
      </w:pPr>
      <w:r>
        <w:t>5.1 postgresql.conf</w:t>
      </w:r>
    </w:p>
    <w:p>
      <w:pPr>
        <w:pStyle w:val="BodyCompact"/>
      </w:pPr>
      <w:r>
        <w:t>Dans le fichier de configuration de l’instance PostgreSQL, autoriser l’écoute réseau :</w:t>
      </w:r>
    </w:p>
    <w:p>
      <w:pPr>
        <w:pStyle w:val="CodeBlock"/>
      </w:pPr>
      <w:r>
        <w:t>listen_addresses = '*'</w:t>
      </w:r>
    </w:p>
    <w:p>
      <w:pPr>
        <w:pStyle w:val="BodyCompact"/>
      </w:pPr>
      <w:r>
        <w:t>Pour une politique plus stricte, utiliser l’IPv4 fixe du serveur à la place de *. Conserver le port 5432.</w:t>
      </w:r>
    </w:p>
    <w:p>
      <w:pPr>
        <w:pStyle w:val="Heading2"/>
        <w:keepNext/>
      </w:pPr>
      <w:r>
        <w:t>5.2 pg_hba.conf</w:t>
      </w:r>
    </w:p>
    <w:p>
      <w:pPr>
        <w:pStyle w:val="BodyCompact"/>
      </w:pPr>
      <w:r>
        <w:t>Ajouter une règle limitée à la base, au compte applicatif et au sous-réseau réel du cabinet :</w:t>
      </w:r>
    </w:p>
    <w:p>
      <w:pPr>
        <w:pStyle w:val="CodeBlock"/>
      </w:pPr>
      <w:r>
        <w:t>host    cabinet_db    cabinet_app    192.168.1.0/24    scram-sha-256</w:t>
      </w:r>
    </w:p>
    <w:tbl>
      <w:tblPr>
        <w:tblW w:type="dxa" w:w="9866"/>
        <w:jc w:val="left"/>
        <w:tblLayout w:type="fixed"/>
        <w:tblLook w:firstColumn="1" w:firstRow="1" w:lastColumn="0" w:lastRow="0" w:noHBand="0" w:noVBand="1" w:val="04A0"/>
        <w:tblInd w:type="dxa" w:w="120"/>
      </w:tblPr>
      <w:tblGrid>
        <w:gridCol w:w="9866"/>
      </w:tblGrid>
      <w:tr>
        <w:trPr>
          <w:tblHeader w:val="true"/>
        </w:trPr>
        <w:tc>
          <w:tcPr>
            <w:tcW w:type="dxa" w:w="9866"/>
            <w:shd w:fill="FCECEC"/>
            <w:tcBorders>
              <w:top w:val="single" w:sz="8" w:color="A73535"/>
              <w:left w:val="single" w:sz="8" w:color="A73535"/>
              <w:bottom w:val="single" w:sz="8" w:color="A73535"/>
              <w:right w:val="single" w:sz="8" w:color="A73535"/>
              <w:insideH w:val="single" w:sz="8" w:color="A73535"/>
              <w:insideV w:val="single" w:sz="8" w:color="A73535"/>
            </w:tcBorders>
            <w:vAlign w:val="center"/>
            <w:tcMar>
              <w:top w:w="80" w:type="dxa"/>
              <w:bottom w:w="80" w:type="dxa"/>
              <w:start w:w="120" w:type="dxa"/>
              <w:end w:w="120" w:type="dxa"/>
            </w:tcMar>
          </w:tcPr>
          <w:p>
            <w:pPr>
              <w:spacing w:after="40"/>
            </w:pPr>
            <w:r>
              <w:rPr>
                <w:b/>
                <w:color w:val="A73535"/>
              </w:rPr>
              <w:t>SÉCURITÉ</w:t>
            </w:r>
          </w:p>
          <w:p>
            <w:pPr>
              <w:pStyle w:val="BodyCompact"/>
              <w:spacing w:after="0"/>
            </w:pPr>
            <w:r>
              <w:t>Ne pas ajouter une règle 0.0.0.0/0. Ne pas donner à cabinet_app l’accès à la base système postgres.</w:t>
            </w:r>
          </w:p>
        </w:tc>
      </w:tr>
    </w:tbl>
    <w:p>
      <w:pPr>
        <w:spacing w:after="20"/>
      </w:pPr>
    </w:p>
    <w:p>
      <w:pPr>
        <w:pStyle w:val="Heading2"/>
        <w:keepNext/>
      </w:pPr>
      <w:r>
        <w:t>5.3 Service et pare-feu</w:t>
      </w:r>
    </w:p>
    <w:p>
      <w:pPr>
        <w:pStyle w:val="BodyCompact"/>
        <w:numPr>
          <w:ilvl w:val="0"/>
          <w:numId w:val="10"/>
        </w:numPr>
      </w:pPr>
      <w:r>
        <w:t>Redémarrer le service PostgreSQL après les modifications.</w:t>
      </w:r>
    </w:p>
    <w:p>
      <w:pPr>
        <w:pStyle w:val="BodyCompact"/>
        <w:numPr>
          <w:ilvl w:val="0"/>
          <w:numId w:val="10"/>
        </w:numPr>
      </w:pPr>
      <w:r>
        <w:t>Créer une règle entrante TCP 5432, profil Privé, source limitée au sous-réseau du cabinet.</w:t>
      </w:r>
    </w:p>
    <w:p>
      <w:pPr>
        <w:pStyle w:val="BodyCompact"/>
        <w:numPr>
          <w:ilvl w:val="0"/>
          <w:numId w:val="10"/>
        </w:numPr>
      </w:pPr>
      <w:r>
        <w:t>Depuis un PC client, vérifier le port avant de lancer l’installateur.</w:t>
      </w:r>
    </w:p>
    <w:p>
      <w:pPr>
        <w:pStyle w:val="CodeBlock"/>
      </w:pPr>
      <w:r>
        <w:t>Test-NetConnection 192.168.1.86 -Port 5432</w:t>
      </w:r>
    </w:p>
    <w:tbl>
      <w:tblPr>
        <w:tblW w:type="dxa" w:w="9866"/>
        <w:jc w:val="left"/>
        <w:tblLayout w:type="fixed"/>
        <w:tblLook w:firstColumn="1" w:firstRow="1" w:lastColumn="0" w:lastRow="0" w:noHBand="0" w:noVBand="1" w:val="04A0"/>
        <w:tblInd w:type="dxa" w:w="120"/>
      </w:tblPr>
      <w:tblGrid>
        <w:gridCol w:w="9866"/>
      </w:tblGrid>
      <w:tr>
        <w:trPr>
          <w:tblHeader w:val="true"/>
        </w:trPr>
        <w:tc>
          <w:tcPr>
            <w:tcW w:type="dxa" w:w="9866"/>
            <w:shd w:fill="EAF6F0"/>
            <w:tcBorders>
              <w:top w:val="single" w:sz="8" w:color="1F7A5A"/>
              <w:left w:val="single" w:sz="8" w:color="1F7A5A"/>
              <w:bottom w:val="single" w:sz="8" w:color="1F7A5A"/>
              <w:right w:val="single" w:sz="8" w:color="1F7A5A"/>
              <w:insideH w:val="single" w:sz="8" w:color="1F7A5A"/>
              <w:insideV w:val="single" w:sz="8" w:color="1F7A5A"/>
            </w:tcBorders>
            <w:vAlign w:val="center"/>
            <w:tcMar>
              <w:top w:w="80" w:type="dxa"/>
              <w:bottom w:w="80" w:type="dxa"/>
              <w:start w:w="120" w:type="dxa"/>
              <w:end w:w="120" w:type="dxa"/>
            </w:tcMar>
          </w:tcPr>
          <w:p>
            <w:pPr>
              <w:spacing w:after="40"/>
            </w:pPr>
            <w:r>
              <w:rPr>
                <w:b/>
                <w:color w:val="1F7A5A"/>
              </w:rPr>
              <w:t>RÉSULTAT ATTENDU</w:t>
            </w:r>
          </w:p>
          <w:p>
            <w:pPr>
              <w:pStyle w:val="BodyCompact"/>
              <w:spacing w:after="0"/>
            </w:pPr>
            <w:r>
              <w:t>TcpTestSucceeded : True. Sinon, vérifier l’IPv4, le service, listen_addresses, pg_hba.conf et le pare-feu.</w:t>
            </w:r>
          </w:p>
        </w:tc>
      </w:tr>
    </w:tbl>
    <w:p>
      <w:pPr>
        <w:spacing w:after="20"/>
      </w:pPr>
    </w:p>
    <w:p>
      <w:pPr>
        <w:pStyle w:val="Heading1"/>
        <w:keepNext/>
      </w:pPr>
      <w:r>
        <w:t>6. Installer le poste serveur</w:t>
      </w:r>
    </w:p>
    <w:p>
      <w:pPr>
        <w:pStyle w:val="BodyCompact"/>
        <w:numPr>
          <w:ilvl w:val="0"/>
          <w:numId w:val="11"/>
        </w:numPr>
      </w:pPr>
      <w:r>
        <w:t>Copier l’installateur depuis une source approuvée et vérifier sa version.</w:t>
      </w:r>
    </w:p>
    <w:p>
      <w:pPr>
        <w:pStyle w:val="BodyCompact"/>
        <w:numPr>
          <w:ilvl w:val="0"/>
          <w:numId w:val="11"/>
        </w:numPr>
      </w:pPr>
      <w:r>
        <w:t>Lancer l’installation avec les droits administrateur.</w:t>
      </w:r>
    </w:p>
    <w:p>
      <w:pPr>
        <w:pStyle w:val="BodyCompact"/>
        <w:numPr>
          <w:ilvl w:val="0"/>
          <w:numId w:val="11"/>
        </w:numPr>
      </w:pPr>
      <w:r>
        <w:t>Choisir PC serveur / principal.</w:t>
      </w:r>
    </w:p>
    <w:p>
      <w:pPr>
        <w:pStyle w:val="BodyCompact"/>
        <w:numPr>
          <w:ilvl w:val="0"/>
          <w:numId w:val="11"/>
        </w:numPr>
      </w:pPr>
      <w:r>
        <w:t>Renseigner Hôte 127.0.0.1, Port 5432, Base cabinet_db, Utilisateur cabinet_app et le mot de passe du cabinet.</w:t>
      </w:r>
    </w:p>
    <w:p>
      <w:pPr>
        <w:pStyle w:val="BodyCompact"/>
        <w:numPr>
          <w:ilvl w:val="0"/>
          <w:numId w:val="11"/>
        </w:numPr>
      </w:pPr>
      <w:r>
        <w:t>Laisser l’assistant tester la connexion. Le logiciel n’est lancé que si le test réussit.</w:t>
      </w:r>
    </w:p>
    <w:p>
      <w:pPr>
        <w:pStyle w:val="BodyCompact"/>
        <w:numPr>
          <w:ilvl w:val="0"/>
          <w:numId w:val="11"/>
        </w:numPr>
      </w:pPr>
      <w:r>
        <w:t>Au premier démarrage, attendre l’application automatique des migrations puis vérifier que l’écran de connexion apparaît.</w:t>
      </w:r>
    </w:p>
    <w:tbl>
      <w:tblPr>
        <w:tblW w:type="dxa" w:w="9866"/>
        <w:jc w:val="left"/>
        <w:tblLayout w:type="fixed"/>
        <w:tblLook w:firstColumn="1" w:firstRow="1" w:lastColumn="0" w:lastRow="0" w:noHBand="0" w:noVBand="1" w:val="04A0"/>
        <w:tblInd w:type="dxa" w:w="120"/>
      </w:tblPr>
      <w:tblGrid>
        <w:gridCol w:w="9866"/>
      </w:tblGrid>
      <w:tr>
        <w:trPr>
          <w:tblHeader w:val="true"/>
        </w:trPr>
        <w:tc>
          <w:tcPr>
            <w:tcW w:type="dxa" w:w="9866"/>
            <w:shd w:fill="FFF4DE"/>
            <w:tcBorders>
              <w:top w:val="single" w:sz="8" w:color="B66A12"/>
              <w:left w:val="single" w:sz="8" w:color="B66A12"/>
              <w:bottom w:val="single" w:sz="8" w:color="B66A12"/>
              <w:right w:val="single" w:sz="8" w:color="B66A12"/>
              <w:insideH w:val="single" w:sz="8" w:color="B66A12"/>
              <w:insideV w:val="single" w:sz="8" w:color="B66A12"/>
            </w:tcBorders>
            <w:vAlign w:val="center"/>
            <w:tcMar>
              <w:top w:w="80" w:type="dxa"/>
              <w:bottom w:w="80" w:type="dxa"/>
              <w:start w:w="120" w:type="dxa"/>
              <w:end w:w="120" w:type="dxa"/>
            </w:tcMar>
          </w:tcPr>
          <w:p>
            <w:pPr>
              <w:spacing w:after="40"/>
            </w:pPr>
            <w:r>
              <w:rPr>
                <w:b/>
                <w:color w:val="B66A12"/>
              </w:rPr>
              <w:t>SMART APP CONTROL</w:t>
            </w:r>
          </w:p>
          <w:p>
            <w:pPr>
              <w:pStyle w:val="BodyCompact"/>
              <w:spacing w:after="0"/>
            </w:pPr>
            <w:r>
              <w:t>En production, distribuer un installateur signé. Si Windows bloque un binaire non signé, vérifier sa provenance et suivre la procédure informatique approuvée ; ne pas désactiver durablement une protection de sécurité.</w:t>
            </w:r>
          </w:p>
        </w:tc>
      </w:tr>
    </w:tbl>
    <w:p>
      <w:pPr>
        <w:spacing w:after="20"/>
      </w:pPr>
    </w:p>
    <w:p>
      <w:pPr>
        <w:pStyle w:val="Heading1"/>
        <w:keepNext/>
      </w:pPr>
      <w:r>
        <w:t>7. Première ouverture et configuration du cabinet</w:t>
      </w:r>
    </w:p>
    <w:p>
      <w:pPr>
        <w:pStyle w:val="Heading2"/>
        <w:keepNext/>
      </w:pPr>
      <w:r>
        <w:t>7.1 Accès administrateur et licence</w:t>
      </w:r>
    </w:p>
    <w:p>
      <w:pPr>
        <w:pStyle w:val="BodyCompact"/>
        <w:numPr>
          <w:ilvl w:val="0"/>
          <w:numId w:val="10"/>
        </w:numPr>
      </w:pPr>
      <w:r>
        <w:t>Se connecter avec le compte super-administrateur remis dans le dossier sécurisé, sans recopier le mot de passe dans ce guide.</w:t>
      </w:r>
    </w:p>
    <w:p>
      <w:pPr>
        <w:pStyle w:val="BodyCompact"/>
        <w:numPr>
          <w:ilvl w:val="0"/>
          <w:numId w:val="10"/>
        </w:numPr>
      </w:pPr>
      <w:r>
        <w:t>Activer la licence une fois sur la base du cabinet.</w:t>
      </w:r>
    </w:p>
    <w:p>
      <w:pPr>
        <w:pStyle w:val="BodyCompact"/>
        <w:numPr>
          <w:ilvl w:val="0"/>
          <w:numId w:val="10"/>
        </w:numPr>
      </w:pPr>
      <w:r>
        <w:t>Installer exactement la même version MedCareSO sur tous les postes : la licence est partagée par la base du cabinet.</w:t>
      </w:r>
    </w:p>
    <w:p>
      <w:pPr>
        <w:pStyle w:val="BodyCompact"/>
        <w:numPr>
          <w:ilvl w:val="0"/>
          <w:numId w:val="10"/>
        </w:numPr>
      </w:pPr>
      <w:r>
        <w:t>Changer immédiatement les mots de passe temporaires et créer un compte nominatif par utilisateur.</w:t>
      </w:r>
    </w:p>
    <w:p>
      <w:pPr>
        <w:pStyle w:val="Heading2"/>
        <w:keepNext/>
      </w:pPr>
      <w:r>
        <w:t>7.2 Comptes et spécialités</w:t>
      </w:r>
    </w:p>
    <w:p>
      <w:pPr>
        <w:pStyle w:val="BodyCompact"/>
        <w:numPr>
          <w:ilvl w:val="0"/>
          <w:numId w:val="10"/>
        </w:numPr>
      </w:pPr>
      <w:r>
        <w:t>Créer les médecins, assistants et administrateurs nécessaires.</w:t>
      </w:r>
    </w:p>
    <w:p>
      <w:pPr>
        <w:pStyle w:val="BodyCompact"/>
        <w:numPr>
          <w:ilvl w:val="0"/>
          <w:numId w:val="10"/>
        </w:numPr>
      </w:pPr>
      <w:r>
        <w:t>Attribuer la spécialité correcte à chaque médecin afin d’afficher les modules adaptés.</w:t>
      </w:r>
    </w:p>
    <w:p>
      <w:pPr>
        <w:pStyle w:val="BodyCompact"/>
        <w:numPr>
          <w:ilvl w:val="0"/>
          <w:numId w:val="10"/>
        </w:numPr>
      </w:pPr>
      <w:r>
        <w:t>Tester chaque compte et vérifier les droits avant la mise en service.</w:t>
      </w:r>
    </w:p>
    <w:p>
      <w:pPr>
        <w:pStyle w:val="BodyCompact"/>
        <w:numPr>
          <w:ilvl w:val="0"/>
          <w:numId w:val="10"/>
        </w:numPr>
      </w:pPr>
      <w:r>
        <w:t>Éviter les comptes partagés : ils réduisent la traçabilité des actions.</w:t>
      </w:r>
    </w:p>
    <w:p>
      <w:pPr>
        <w:pStyle w:val="Heading2"/>
        <w:keepNext/>
      </w:pPr>
      <w:r>
        <w:t>7.3 Paramètres et périphériques</w:t>
      </w:r>
    </w:p>
    <w:tbl>
      <w:tblPr>
        <w:tblStyle w:val="TableGrid"/>
        <w:tblW w:type="dxa" w:w="9866"/>
        <w:jc w:val="left"/>
        <w:tblLayout w:type="fixed"/>
        <w:tblLook w:firstColumn="1" w:firstRow="1" w:lastColumn="0" w:lastRow="0" w:noHBand="0" w:noVBand="1" w:val="04A0"/>
        <w:tblInd w:type="dxa" w:w="120"/>
      </w:tblPr>
      <w:tblGrid>
        <w:gridCol w:w="2691"/>
        <w:gridCol w:w="7175"/>
      </w:tblGrid>
      <w:tr>
        <w:trPr>
          <w:tblHeader w:val="true"/>
          <w:cantSplit w:val="true"/>
        </w:trPr>
        <w:tc>
          <w:tcPr>
            <w:tcW w:type="dxa" w:w="2691"/>
            <w:shd w:fill="183B56"/>
            <w:tcBorders>
              <w:top w:val="single" w:sz="6" w:color="183B56"/>
              <w:left w:val="single" w:sz="6" w:color="183B56"/>
              <w:bottom w:val="single" w:sz="6" w:color="183B56"/>
              <w:right w:val="single" w:sz="6" w:color="183B56"/>
              <w:insideH w:val="single" w:sz="6" w:color="183B56"/>
              <w:insideV w:val="single" w:sz="6" w:color="183B56"/>
            </w:tcBorders>
            <w:vAlign w:val="center"/>
            <w:tcMar>
              <w:top w:w="50" w:type="dxa"/>
              <w:bottom w:w="50" w:type="dxa"/>
              <w:start w:w="120" w:type="dxa"/>
              <w:end w:w="120" w:type="dxa"/>
            </w:tcMar>
          </w:tcPr>
          <w:p>
            <w:pPr>
              <w:spacing w:after="0"/>
            </w:pPr>
            <w:r>
              <w:rPr>
                <w:b/>
                <w:color w:val="FFFFFF"/>
                <w:sz w:val="17"/>
              </w:rPr>
              <w:t>ZONE</w:t>
            </w:r>
          </w:p>
        </w:tc>
        <w:tc>
          <w:tcPr>
            <w:tcW w:type="dxa" w:w="7175"/>
            <w:shd w:fill="183B56"/>
            <w:tcBorders>
              <w:top w:val="single" w:sz="6" w:color="183B56"/>
              <w:left w:val="single" w:sz="6" w:color="183B56"/>
              <w:bottom w:val="single" w:sz="6" w:color="183B56"/>
              <w:right w:val="single" w:sz="6" w:color="183B56"/>
              <w:insideH w:val="single" w:sz="6" w:color="183B56"/>
              <w:insideV w:val="single" w:sz="6" w:color="183B56"/>
            </w:tcBorders>
            <w:vAlign w:val="center"/>
            <w:tcMar>
              <w:top w:w="50" w:type="dxa"/>
              <w:bottom w:w="50" w:type="dxa"/>
              <w:start w:w="120" w:type="dxa"/>
              <w:end w:w="120" w:type="dxa"/>
            </w:tcMar>
          </w:tcPr>
          <w:p>
            <w:pPr>
              <w:spacing w:after="0"/>
            </w:pPr>
            <w:r>
              <w:rPr>
                <w:b/>
                <w:color w:val="FFFFFF"/>
                <w:sz w:val="17"/>
              </w:rPr>
              <w:t>À CONFIGURER / TESTER</w:t>
            </w:r>
          </w:p>
        </w:tc>
      </w:tr>
      <w:tr>
        <w:trPr>
          <w:cantSplit w:val="true"/>
        </w:trPr>
        <w:tc>
          <w:tcPr>
            <w:tcW w:type="dxa" w:w="2691"/>
            <w:shd w:fill="FFFFFF"/>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Général</w:t>
            </w:r>
          </w:p>
        </w:tc>
        <w:tc>
          <w:tcPr>
            <w:tcW w:type="dxa" w:w="7175"/>
            <w:shd w:fill="FFFFFF"/>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Coordonnées du cabinet, horaires, informations légales</w:t>
            </w:r>
          </w:p>
        </w:tc>
      </w:tr>
      <w:tr>
        <w:trPr>
          <w:cantSplit w:val="true"/>
        </w:trPr>
        <w:tc>
          <w:tcPr>
            <w:tcW w:type="dxa" w:w="2691"/>
            <w:shd w:fill="F5F9FC"/>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Documents</w:t>
            </w:r>
          </w:p>
        </w:tc>
        <w:tc>
          <w:tcPr>
            <w:tcW w:type="dxa" w:w="7175"/>
            <w:shd w:fill="F5F9FC"/>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En-tête, logo, modèles et aperçu d’impression</w:t>
            </w:r>
          </w:p>
        </w:tc>
      </w:tr>
      <w:tr>
        <w:trPr>
          <w:cantSplit w:val="true"/>
        </w:trPr>
        <w:tc>
          <w:tcPr>
            <w:tcW w:type="dxa" w:w="2691"/>
            <w:shd w:fill="FFFFFF"/>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Impression</w:t>
            </w:r>
          </w:p>
        </w:tc>
        <w:tc>
          <w:tcPr>
            <w:tcW w:type="dxa" w:w="7175"/>
            <w:shd w:fill="FFFFFF"/>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Imprimante standard et impression d’une page test</w:t>
            </w:r>
          </w:p>
        </w:tc>
      </w:tr>
      <w:tr>
        <w:trPr>
          <w:cantSplit w:val="true"/>
        </w:trPr>
        <w:tc>
          <w:tcPr>
            <w:tcW w:type="dxa" w:w="2691"/>
            <w:shd w:fill="F5F9FC"/>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Point de vente</w:t>
            </w:r>
          </w:p>
        </w:tc>
        <w:tc>
          <w:tcPr>
            <w:tcW w:type="dxa" w:w="7175"/>
            <w:shd w:fill="F5F9FC"/>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Imprimante thermique si utilisée</w:t>
            </w:r>
          </w:p>
        </w:tc>
      </w:tr>
      <w:tr>
        <w:trPr>
          <w:cantSplit w:val="true"/>
        </w:trPr>
        <w:tc>
          <w:tcPr>
            <w:tcW w:type="dxa" w:w="2691"/>
            <w:shd w:fill="FFFFFF"/>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Numérisation</w:t>
            </w:r>
          </w:p>
        </w:tc>
        <w:tc>
          <w:tcPr>
            <w:tcW w:type="dxa" w:w="7175"/>
            <w:shd w:fill="FFFFFF"/>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Scanner USB et import d’un document test</w:t>
            </w:r>
          </w:p>
        </w:tc>
      </w:tr>
      <w:tr>
        <w:trPr>
          <w:cantSplit w:val="true"/>
        </w:trPr>
        <w:tc>
          <w:tcPr>
            <w:tcW w:type="dxa" w:w="2691"/>
            <w:shd w:fill="F5F9FC"/>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SMS / Cloud</w:t>
            </w:r>
          </w:p>
        </w:tc>
        <w:tc>
          <w:tcPr>
            <w:tcW w:type="dxa" w:w="7175"/>
            <w:shd w:fill="F5F9FC"/>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Configurer uniquement si le contrat et les identifiants sont disponibles</w:t>
            </w:r>
          </w:p>
        </w:tc>
      </w:tr>
    </w:tbl>
    <w:p>
      <w:pPr>
        <w:spacing w:after="20"/>
      </w:pPr>
    </w:p>
    <w:p>
      <w:pPr>
        <w:pStyle w:val="Heading1"/>
        <w:keepNext/>
      </w:pPr>
      <w:r>
        <w:t>8. Installer chaque poste client</w:t>
      </w:r>
    </w:p>
    <w:p>
      <w:pPr>
        <w:pStyle w:val="BodyCompact"/>
        <w:numPr>
          <w:ilvl w:val="0"/>
          <w:numId w:val="11"/>
        </w:numPr>
      </w:pPr>
      <w:r>
        <w:t>Vérifier que Test-NetConnection IP_SERVEUR -Port 5432 réussit.</w:t>
      </w:r>
    </w:p>
    <w:p>
      <w:pPr>
        <w:pStyle w:val="BodyCompact"/>
        <w:numPr>
          <w:ilvl w:val="0"/>
          <w:numId w:val="11"/>
        </w:numPr>
      </w:pPr>
      <w:r>
        <w:t>Lancer le même installateur MedCareSO 2.1.1 avec les droits administrateur.</w:t>
      </w:r>
    </w:p>
    <w:p>
      <w:pPr>
        <w:pStyle w:val="BodyCompact"/>
        <w:numPr>
          <w:ilvl w:val="0"/>
          <w:numId w:val="11"/>
        </w:numPr>
      </w:pPr>
      <w:r>
        <w:t>Choisir PC client.</w:t>
      </w:r>
    </w:p>
    <w:p>
      <w:pPr>
        <w:pStyle w:val="BodyCompact"/>
        <w:numPr>
          <w:ilvl w:val="0"/>
          <w:numId w:val="11"/>
        </w:numPr>
      </w:pPr>
      <w:r>
        <w:t>Renseigner l’IPv4 réservée du serveur, jamais 127.0.0.1.</w:t>
      </w:r>
    </w:p>
    <w:p>
      <w:pPr>
        <w:pStyle w:val="BodyCompact"/>
        <w:numPr>
          <w:ilvl w:val="0"/>
          <w:numId w:val="11"/>
        </w:numPr>
      </w:pPr>
      <w:r>
        <w:t>Utiliser la même base cabinet_db, le même utilisateur cabinet_app et le même mot de passe applicatif.</w:t>
      </w:r>
    </w:p>
    <w:p>
      <w:pPr>
        <w:pStyle w:val="BodyCompact"/>
        <w:numPr>
          <w:ilvl w:val="0"/>
          <w:numId w:val="11"/>
        </w:numPr>
      </w:pPr>
      <w:r>
        <w:t>Cliquer sur Tester, puis Sauvegarder. Se connecter avec un compte utilisateur nominatif.</w:t>
      </w:r>
    </w:p>
    <w:p>
      <w:pPr>
        <w:pStyle w:val="BodyCompact"/>
        <w:numPr>
          <w:ilvl w:val="0"/>
          <w:numId w:val="11"/>
        </w:numPr>
      </w:pPr>
      <w:r>
        <w:t>Créer un patient de test depuis un poste et vérifier sa présence depuis un autre, puis supprimer le test.</w:t>
      </w:r>
    </w:p>
    <w:tbl>
      <w:tblPr>
        <w:tblW w:type="dxa" w:w="9866"/>
        <w:jc w:val="left"/>
        <w:tblLayout w:type="fixed"/>
        <w:tblLook w:firstColumn="1" w:firstRow="1" w:lastColumn="0" w:lastRow="0" w:noHBand="0" w:noVBand="1" w:val="04A0"/>
        <w:tblInd w:type="dxa" w:w="120"/>
      </w:tblPr>
      <w:tblGrid>
        <w:gridCol w:w="9866"/>
      </w:tblGrid>
      <w:tr>
        <w:trPr>
          <w:tblHeader w:val="true"/>
        </w:trPr>
        <w:tc>
          <w:tcPr>
            <w:tcW w:type="dxa" w:w="9866"/>
            <w:shd w:fill="FFF4DE"/>
            <w:tcBorders>
              <w:top w:val="single" w:sz="8" w:color="B66A12"/>
              <w:left w:val="single" w:sz="8" w:color="B66A12"/>
              <w:bottom w:val="single" w:sz="8" w:color="B66A12"/>
              <w:right w:val="single" w:sz="8" w:color="B66A12"/>
              <w:insideH w:val="single" w:sz="8" w:color="B66A12"/>
              <w:insideV w:val="single" w:sz="8" w:color="B66A12"/>
            </w:tcBorders>
            <w:vAlign w:val="center"/>
            <w:tcMar>
              <w:top w:w="80" w:type="dxa"/>
              <w:bottom w:w="80" w:type="dxa"/>
              <w:start w:w="120" w:type="dxa"/>
              <w:end w:w="120" w:type="dxa"/>
            </w:tcMar>
          </w:tcPr>
          <w:p>
            <w:pPr>
              <w:spacing w:after="40"/>
            </w:pPr>
            <w:r>
              <w:rPr>
                <w:b/>
                <w:color w:val="B66A12"/>
              </w:rPr>
              <w:t>COHÉRENCE DES VERSIONS</w:t>
            </w:r>
          </w:p>
          <w:p>
            <w:pPr>
              <w:pStyle w:val="BodyCompact"/>
              <w:spacing w:after="0"/>
            </w:pPr>
            <w:r>
              <w:t>Après toute mise à jour du serveur, mettre à jour tous les postes clients avant de reprendre l’activité.</w:t>
            </w:r>
          </w:p>
        </w:tc>
      </w:tr>
    </w:tbl>
    <w:p>
      <w:pPr>
        <w:spacing w:after="20"/>
      </w:pPr>
    </w:p>
    <w:p>
      <w:pPr>
        <w:pStyle w:val="Heading1"/>
        <w:keepNext/>
      </w:pPr>
      <w:r>
        <w:t>9. Activer la page patient et le QR code</w:t>
      </w:r>
    </w:p>
    <w:p>
      <w:pPr>
        <w:pStyle w:val="BodyCompact"/>
        <w:numPr>
          <w:ilvl w:val="0"/>
          <w:numId w:val="11"/>
        </w:numPr>
      </w:pPr>
      <w:r>
        <w:t>Sur le poste serveur, ouvrir Paramètres &gt; RDV.</w:t>
      </w:r>
    </w:p>
    <w:p>
      <w:pPr>
        <w:pStyle w:val="BodyCompact"/>
        <w:numPr>
          <w:ilvl w:val="0"/>
          <w:numId w:val="11"/>
        </w:numPr>
      </w:pPr>
      <w:r>
        <w:t>Activer le portail local et conserver le port 4580, sauf conflit documenté.</w:t>
      </w:r>
    </w:p>
    <w:p>
      <w:pPr>
        <w:pStyle w:val="BodyCompact"/>
        <w:numPr>
          <w:ilvl w:val="0"/>
          <w:numId w:val="11"/>
        </w:numPr>
      </w:pPr>
      <w:r>
        <w:t>Pour un usage uniquement dans le cabinet, laisser l’URL publique vide.</w:t>
      </w:r>
    </w:p>
    <w:p>
      <w:pPr>
        <w:pStyle w:val="BodyCompact"/>
        <w:numPr>
          <w:ilvl w:val="0"/>
          <w:numId w:val="11"/>
        </w:numPr>
      </w:pPr>
      <w:r>
        <w:t>Enregistrer, afficher ou imprimer le QR code généré.</w:t>
      </w:r>
    </w:p>
    <w:p>
      <w:pPr>
        <w:pStyle w:val="BodyCompact"/>
        <w:numPr>
          <w:ilvl w:val="0"/>
          <w:numId w:val="11"/>
        </w:numPr>
      </w:pPr>
      <w:r>
        <w:t>Connecter un téléphone au même Wi-Fi privé, scanner le QR et vérifier l’ouverture de la page.</w:t>
      </w:r>
    </w:p>
    <w:p>
      <w:pPr>
        <w:pStyle w:val="BodyCompact"/>
        <w:numPr>
          <w:ilvl w:val="0"/>
          <w:numId w:val="11"/>
        </w:numPr>
      </w:pPr>
      <w:r>
        <w:t>Tester une arrivée avec rendez-vous et une arrivée sans rendez-vous.</w:t>
      </w:r>
    </w:p>
    <w:p>
      <w:pPr>
        <w:pStyle w:val="BodyCompact"/>
        <w:numPr>
          <w:ilvl w:val="0"/>
          <w:numId w:val="11"/>
        </w:numPr>
      </w:pPr>
      <w:r>
        <w:t>Vérifier que le ticket apparaît automatiquement dans la salle d’attente et que l’ordre est visible côté patient.</w:t>
      </w:r>
    </w:p>
    <w:p>
      <w:pPr>
        <w:pStyle w:val="CodeBlock"/>
      </w:pPr>
      <w:r>
        <w:t>http://&lt;IP_SERVEUR&gt;:4580/rdv/&lt;TOKEN&gt;</w:t>
      </w:r>
    </w:p>
    <w:tbl>
      <w:tblPr>
        <w:tblStyle w:val="TableGrid"/>
        <w:tblW w:type="dxa" w:w="9866"/>
        <w:jc w:val="left"/>
        <w:tblLayout w:type="fixed"/>
        <w:tblLook w:firstColumn="1" w:firstRow="1" w:lastColumn="0" w:lastRow="0" w:noHBand="0" w:noVBand="1" w:val="04A0"/>
        <w:tblInd w:type="dxa" w:w="120"/>
      </w:tblPr>
      <w:tblGrid>
        <w:gridCol w:w="2753"/>
        <w:gridCol w:w="7113"/>
      </w:tblGrid>
      <w:tr>
        <w:trPr>
          <w:tblHeader w:val="true"/>
          <w:cantSplit w:val="true"/>
        </w:trPr>
        <w:tc>
          <w:tcPr>
            <w:tcW w:type="dxa" w:w="2753"/>
            <w:shd w:fill="183B56"/>
            <w:tcBorders>
              <w:top w:val="single" w:sz="6" w:color="183B56"/>
              <w:left w:val="single" w:sz="6" w:color="183B56"/>
              <w:bottom w:val="single" w:sz="6" w:color="183B56"/>
              <w:right w:val="single" w:sz="6" w:color="183B56"/>
              <w:insideH w:val="single" w:sz="6" w:color="183B56"/>
              <w:insideV w:val="single" w:sz="6" w:color="183B56"/>
            </w:tcBorders>
            <w:vAlign w:val="center"/>
            <w:tcMar>
              <w:top w:w="50" w:type="dxa"/>
              <w:bottom w:w="50" w:type="dxa"/>
              <w:start w:w="120" w:type="dxa"/>
              <w:end w:w="120" w:type="dxa"/>
            </w:tcMar>
          </w:tcPr>
          <w:p>
            <w:pPr>
              <w:spacing w:after="0"/>
            </w:pPr>
            <w:r>
              <w:rPr>
                <w:b/>
                <w:color w:val="FFFFFF"/>
                <w:sz w:val="17"/>
              </w:rPr>
              <w:t>CONTRÔLE</w:t>
            </w:r>
          </w:p>
        </w:tc>
        <w:tc>
          <w:tcPr>
            <w:tcW w:type="dxa" w:w="7113"/>
            <w:shd w:fill="183B56"/>
            <w:tcBorders>
              <w:top w:val="single" w:sz="6" w:color="183B56"/>
              <w:left w:val="single" w:sz="6" w:color="183B56"/>
              <w:bottom w:val="single" w:sz="6" w:color="183B56"/>
              <w:right w:val="single" w:sz="6" w:color="183B56"/>
              <w:insideH w:val="single" w:sz="6" w:color="183B56"/>
              <w:insideV w:val="single" w:sz="6" w:color="183B56"/>
            </w:tcBorders>
            <w:vAlign w:val="center"/>
            <w:tcMar>
              <w:top w:w="50" w:type="dxa"/>
              <w:bottom w:w="50" w:type="dxa"/>
              <w:start w:w="120" w:type="dxa"/>
              <w:end w:w="120" w:type="dxa"/>
            </w:tcMar>
          </w:tcPr>
          <w:p>
            <w:pPr>
              <w:spacing w:after="0"/>
            </w:pPr>
            <w:r>
              <w:rPr>
                <w:b/>
                <w:color w:val="FFFFFF"/>
                <w:sz w:val="17"/>
              </w:rPr>
              <w:t>ATTENDU</w:t>
            </w:r>
          </w:p>
        </w:tc>
      </w:tr>
      <w:tr>
        <w:trPr>
          <w:cantSplit w:val="true"/>
        </w:trPr>
        <w:tc>
          <w:tcPr>
            <w:tcW w:type="dxa" w:w="2753"/>
            <w:shd w:fill="FFFFFF"/>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Nom du patient</w:t>
            </w:r>
          </w:p>
        </w:tc>
        <w:tc>
          <w:tcPr>
            <w:tcW w:type="dxa" w:w="7113"/>
            <w:shd w:fill="FFFFFF"/>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Saisie minimale conforme aux règles du cabinet</w:t>
            </w:r>
          </w:p>
        </w:tc>
      </w:tr>
      <w:tr>
        <w:trPr>
          <w:cantSplit w:val="true"/>
        </w:trPr>
        <w:tc>
          <w:tcPr>
            <w:tcW w:type="dxa" w:w="2753"/>
            <w:shd w:fill="F5F9FC"/>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Type d’arrivée</w:t>
            </w:r>
          </w:p>
        </w:tc>
        <w:tc>
          <w:tcPr>
            <w:tcW w:type="dxa" w:w="7113"/>
            <w:shd w:fill="F5F9FC"/>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Avec RDV ou sans RDV</w:t>
            </w:r>
          </w:p>
        </w:tc>
      </w:tr>
      <w:tr>
        <w:trPr>
          <w:cantSplit w:val="true"/>
        </w:trPr>
        <w:tc>
          <w:tcPr>
            <w:tcW w:type="dxa" w:w="2753"/>
            <w:shd w:fill="FFFFFF"/>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File d’attente</w:t>
            </w:r>
          </w:p>
        </w:tc>
        <w:tc>
          <w:tcPr>
            <w:tcW w:type="dxa" w:w="7113"/>
            <w:shd w:fill="FFFFFF"/>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Nouvel arrivant visible sans saisie manuelle</w:t>
            </w:r>
          </w:p>
        </w:tc>
      </w:tr>
      <w:tr>
        <w:trPr>
          <w:cantSplit w:val="true"/>
        </w:trPr>
        <w:tc>
          <w:tcPr>
            <w:tcW w:type="dxa" w:w="2753"/>
            <w:shd w:fill="F5F9FC"/>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Affichage patient</w:t>
            </w:r>
          </w:p>
        </w:tc>
        <w:tc>
          <w:tcPr>
            <w:tcW w:type="dxa" w:w="7113"/>
            <w:shd w:fill="F5F9FC"/>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Position / ordre sans exposer les données médicales des autres patients</w:t>
            </w:r>
          </w:p>
        </w:tc>
      </w:tr>
      <w:tr>
        <w:trPr>
          <w:cantSplit w:val="true"/>
        </w:trPr>
        <w:tc>
          <w:tcPr>
            <w:tcW w:type="dxa" w:w="2753"/>
            <w:shd w:fill="FFFFFF"/>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Disponibilité</w:t>
            </w:r>
          </w:p>
        </w:tc>
        <w:tc>
          <w:tcPr>
            <w:tcW w:type="dxa" w:w="7113"/>
            <w:shd w:fill="FFFFFF"/>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Accessible tant que le serveur et MedCareSO sont actifs</w:t>
            </w:r>
          </w:p>
        </w:tc>
      </w:tr>
    </w:tbl>
    <w:p>
      <w:pPr>
        <w:spacing w:after="20"/>
      </w:pPr>
    </w:p>
    <w:tbl>
      <w:tblPr>
        <w:tblW w:type="dxa" w:w="9866"/>
        <w:jc w:val="left"/>
        <w:tblLayout w:type="fixed"/>
        <w:tblLook w:firstColumn="1" w:firstRow="1" w:lastColumn="0" w:lastRow="0" w:noHBand="0" w:noVBand="1" w:val="04A0"/>
        <w:tblInd w:type="dxa" w:w="120"/>
      </w:tblPr>
      <w:tblGrid>
        <w:gridCol w:w="9866"/>
      </w:tblGrid>
      <w:tr>
        <w:trPr>
          <w:tblHeader w:val="true"/>
        </w:trPr>
        <w:tc>
          <w:tcPr>
            <w:tcW w:type="dxa" w:w="9866"/>
            <w:shd w:fill="FCECEC"/>
            <w:tcBorders>
              <w:top w:val="single" w:sz="8" w:color="A73535"/>
              <w:left w:val="single" w:sz="8" w:color="A73535"/>
              <w:bottom w:val="single" w:sz="8" w:color="A73535"/>
              <w:right w:val="single" w:sz="8" w:color="A73535"/>
              <w:insideH w:val="single" w:sz="8" w:color="A73535"/>
              <w:insideV w:val="single" w:sz="8" w:color="A73535"/>
            </w:tcBorders>
            <w:vAlign w:val="center"/>
            <w:tcMar>
              <w:top w:w="80" w:type="dxa"/>
              <w:bottom w:w="80" w:type="dxa"/>
              <w:start w:w="120" w:type="dxa"/>
              <w:end w:w="120" w:type="dxa"/>
            </w:tcMar>
          </w:tcPr>
          <w:p>
            <w:pPr>
              <w:spacing w:after="40"/>
            </w:pPr>
            <w:r>
              <w:rPr>
                <w:b/>
                <w:color w:val="A73535"/>
              </w:rPr>
              <w:t>CONFIDENTIALITÉ</w:t>
            </w:r>
          </w:p>
          <w:p>
            <w:pPr>
              <w:pStyle w:val="BodyCompact"/>
              <w:spacing w:after="0"/>
            </w:pPr>
            <w:r>
              <w:t>Le portail ne doit jamais afficher le diagnostic, le numéro de téléphone ou d’autres informations médicales d’un patient à un autre.</w:t>
            </w:r>
          </w:p>
        </w:tc>
      </w:tr>
    </w:tbl>
    <w:p>
      <w:pPr>
        <w:spacing w:after="20"/>
      </w:pPr>
    </w:p>
    <w:p>
      <w:pPr>
        <w:pStyle w:val="Heading1"/>
        <w:keepNext/>
      </w:pPr>
      <w:r>
        <w:t>10. Mettre en place les sauvegardes</w:t>
      </w:r>
    </w:p>
    <w:p>
      <w:pPr>
        <w:pStyle w:val="BodyCompact"/>
      </w:pPr>
      <w:r>
        <w:t>La base du serveur est le point central du cabinet. Une sauvegarde quotidienne doit être automatique, contrôlée et copiée hors du disque du serveur.</w:t>
      </w:r>
    </w:p>
    <w:p>
      <w:pPr>
        <w:pStyle w:val="CodeBlock"/>
      </w:pPr>
      <w:r>
        <w:t>pg_dump -h 127.0.0.1 -U cabinet_app -F c -f "D:\MedCareSO_Backups\cabinet_db_YYYY-MM-DD.backup" cabinet_db</w:t>
      </w:r>
    </w:p>
    <w:tbl>
      <w:tblPr>
        <w:tblStyle w:val="TableGrid"/>
        <w:tblW w:type="dxa" w:w="9866"/>
        <w:jc w:val="left"/>
        <w:tblLayout w:type="fixed"/>
        <w:tblLook w:firstColumn="1" w:firstRow="1" w:lastColumn="0" w:lastRow="0" w:noHBand="0" w:noVBand="1" w:val="04A0"/>
        <w:tblInd w:type="dxa" w:w="120"/>
      </w:tblPr>
      <w:tblGrid>
        <w:gridCol w:w="2608"/>
        <w:gridCol w:w="7258"/>
      </w:tblGrid>
      <w:tr>
        <w:trPr>
          <w:tblHeader w:val="true"/>
          <w:cantSplit w:val="true"/>
        </w:trPr>
        <w:tc>
          <w:tcPr>
            <w:tcW w:type="dxa" w:w="2608"/>
            <w:shd w:fill="183B56"/>
            <w:tcBorders>
              <w:top w:val="single" w:sz="6" w:color="183B56"/>
              <w:left w:val="single" w:sz="6" w:color="183B56"/>
              <w:bottom w:val="single" w:sz="6" w:color="183B56"/>
              <w:right w:val="single" w:sz="6" w:color="183B56"/>
              <w:insideH w:val="single" w:sz="6" w:color="183B56"/>
              <w:insideV w:val="single" w:sz="6" w:color="183B56"/>
            </w:tcBorders>
            <w:vAlign w:val="center"/>
            <w:tcMar>
              <w:top w:w="50" w:type="dxa"/>
              <w:bottom w:w="50" w:type="dxa"/>
              <w:start w:w="120" w:type="dxa"/>
              <w:end w:w="120" w:type="dxa"/>
            </w:tcMar>
          </w:tcPr>
          <w:p>
            <w:pPr>
              <w:spacing w:after="0"/>
            </w:pPr>
            <w:r>
              <w:rPr>
                <w:b/>
                <w:color w:val="FFFFFF"/>
                <w:sz w:val="17"/>
              </w:rPr>
              <w:t>MESURE</w:t>
            </w:r>
          </w:p>
        </w:tc>
        <w:tc>
          <w:tcPr>
            <w:tcW w:type="dxa" w:w="7258"/>
            <w:shd w:fill="183B56"/>
            <w:tcBorders>
              <w:top w:val="single" w:sz="6" w:color="183B56"/>
              <w:left w:val="single" w:sz="6" w:color="183B56"/>
              <w:bottom w:val="single" w:sz="6" w:color="183B56"/>
              <w:right w:val="single" w:sz="6" w:color="183B56"/>
              <w:insideH w:val="single" w:sz="6" w:color="183B56"/>
              <w:insideV w:val="single" w:sz="6" w:color="183B56"/>
            </w:tcBorders>
            <w:vAlign w:val="center"/>
            <w:tcMar>
              <w:top w:w="50" w:type="dxa"/>
              <w:bottom w:w="50" w:type="dxa"/>
              <w:start w:w="120" w:type="dxa"/>
              <w:end w:w="120" w:type="dxa"/>
            </w:tcMar>
          </w:tcPr>
          <w:p>
            <w:pPr>
              <w:spacing w:after="0"/>
            </w:pPr>
            <w:r>
              <w:rPr>
                <w:b/>
                <w:color w:val="FFFFFF"/>
                <w:sz w:val="17"/>
              </w:rPr>
              <w:t>RÈGLE MINIMALE</w:t>
            </w:r>
          </w:p>
        </w:tc>
      </w:tr>
      <w:tr>
        <w:trPr>
          <w:cantSplit w:val="true"/>
        </w:trPr>
        <w:tc>
          <w:tcPr>
            <w:tcW w:type="dxa" w:w="2608"/>
            <w:shd w:fill="FFFFFF"/>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Fréquence</w:t>
            </w:r>
          </w:p>
        </w:tc>
        <w:tc>
          <w:tcPr>
            <w:tcW w:type="dxa" w:w="7258"/>
            <w:shd w:fill="FFFFFF"/>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Quotidienne, après la fermeture du cabinet</w:t>
            </w:r>
          </w:p>
        </w:tc>
      </w:tr>
      <w:tr>
        <w:trPr>
          <w:cantSplit w:val="true"/>
        </w:trPr>
        <w:tc>
          <w:tcPr>
            <w:tcW w:type="dxa" w:w="2608"/>
            <w:shd w:fill="F5F9FC"/>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Rétention</w:t>
            </w:r>
          </w:p>
        </w:tc>
        <w:tc>
          <w:tcPr>
            <w:tcW w:type="dxa" w:w="7258"/>
            <w:shd w:fill="F5F9FC"/>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Plusieurs versions journalières, hebdomadaires et mensuelles selon la politique du cabinet</w:t>
            </w:r>
          </w:p>
        </w:tc>
      </w:tr>
      <w:tr>
        <w:trPr>
          <w:cantSplit w:val="true"/>
        </w:trPr>
        <w:tc>
          <w:tcPr>
            <w:tcW w:type="dxa" w:w="2608"/>
            <w:shd w:fill="FFFFFF"/>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Deuxième copie</w:t>
            </w:r>
          </w:p>
        </w:tc>
        <w:tc>
          <w:tcPr>
            <w:tcW w:type="dxa" w:w="7258"/>
            <w:shd w:fill="FFFFFF"/>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Support chiffré ou stockage externe au PC serveur</w:t>
            </w:r>
          </w:p>
        </w:tc>
      </w:tr>
      <w:tr>
        <w:trPr>
          <w:cantSplit w:val="true"/>
        </w:trPr>
        <w:tc>
          <w:tcPr>
            <w:tcW w:type="dxa" w:w="2608"/>
            <w:shd w:fill="F5F9FC"/>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Contrôle</w:t>
            </w:r>
          </w:p>
        </w:tc>
        <w:tc>
          <w:tcPr>
            <w:tcW w:type="dxa" w:w="7258"/>
            <w:shd w:fill="F5F9FC"/>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Taille et date du fichier vérifiées automatiquement</w:t>
            </w:r>
          </w:p>
        </w:tc>
      </w:tr>
      <w:tr>
        <w:trPr>
          <w:cantSplit w:val="true"/>
        </w:trPr>
        <w:tc>
          <w:tcPr>
            <w:tcW w:type="dxa" w:w="2608"/>
            <w:shd w:fill="FFFFFF"/>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Test de restauration</w:t>
            </w:r>
          </w:p>
        </w:tc>
        <w:tc>
          <w:tcPr>
            <w:tcW w:type="dxa" w:w="7258"/>
            <w:shd w:fill="FFFFFF"/>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Régulier, dans une base de test, par une personne autorisée</w:t>
            </w:r>
          </w:p>
        </w:tc>
      </w:tr>
    </w:tbl>
    <w:p>
      <w:pPr>
        <w:spacing w:after="20"/>
      </w:pPr>
    </w:p>
    <w:tbl>
      <w:tblPr>
        <w:tblW w:type="dxa" w:w="9866"/>
        <w:jc w:val="left"/>
        <w:tblLayout w:type="fixed"/>
        <w:tblLook w:firstColumn="1" w:firstRow="1" w:lastColumn="0" w:lastRow="0" w:noHBand="0" w:noVBand="1" w:val="04A0"/>
        <w:tblInd w:type="dxa" w:w="120"/>
      </w:tblPr>
      <w:tblGrid>
        <w:gridCol w:w="9866"/>
      </w:tblGrid>
      <w:tr>
        <w:trPr>
          <w:tblHeader w:val="true"/>
        </w:trPr>
        <w:tc>
          <w:tcPr>
            <w:tcW w:type="dxa" w:w="9866"/>
            <w:shd w:fill="FFF4DE"/>
            <w:tcBorders>
              <w:top w:val="single" w:sz="8" w:color="B66A12"/>
              <w:left w:val="single" w:sz="8" w:color="B66A12"/>
              <w:bottom w:val="single" w:sz="8" w:color="B66A12"/>
              <w:right w:val="single" w:sz="8" w:color="B66A12"/>
              <w:insideH w:val="single" w:sz="8" w:color="B66A12"/>
              <w:insideV w:val="single" w:sz="8" w:color="B66A12"/>
            </w:tcBorders>
            <w:vAlign w:val="center"/>
            <w:tcMar>
              <w:top w:w="80" w:type="dxa"/>
              <w:bottom w:w="80" w:type="dxa"/>
              <w:start w:w="120" w:type="dxa"/>
              <w:end w:w="120" w:type="dxa"/>
            </w:tcMar>
          </w:tcPr>
          <w:p>
            <w:pPr>
              <w:spacing w:after="40"/>
            </w:pPr>
            <w:r>
              <w:rPr>
                <w:b/>
                <w:color w:val="B66A12"/>
              </w:rPr>
              <w:t>IMPORTANT</w:t>
            </w:r>
          </w:p>
          <w:p>
            <w:pPr>
              <w:pStyle w:val="BodyCompact"/>
              <w:spacing w:after="0"/>
            </w:pPr>
            <w:r>
              <w:t>Une copie qui n’a jamais été restaurée n’est pas une sauvegarde prouvée. Documenter la date et le résultat de chaque test de restauration.</w:t>
            </w:r>
          </w:p>
        </w:tc>
      </w:tr>
    </w:tbl>
    <w:p>
      <w:pPr>
        <w:spacing w:after="20"/>
      </w:pPr>
    </w:p>
    <w:p>
      <w:pPr>
        <w:pStyle w:val="Heading1"/>
        <w:keepNext/>
      </w:pPr>
      <w:r>
        <w:t>11. Recette avant mise en service</w:t>
      </w:r>
    </w:p>
    <w:tbl>
      <w:tblPr>
        <w:tblStyle w:val="TableGrid"/>
        <w:tblW w:type="dxa" w:w="9866"/>
        <w:jc w:val="left"/>
        <w:tblLayout w:type="fixed"/>
        <w:tblLook w:firstColumn="1" w:firstRow="1" w:lastColumn="0" w:lastRow="0" w:noHBand="0" w:noVBand="1" w:val="04A0"/>
        <w:tblInd w:type="dxa" w:w="120"/>
      </w:tblPr>
      <w:tblGrid>
        <w:gridCol w:w="688"/>
        <w:gridCol w:w="5048"/>
        <w:gridCol w:w="4130"/>
      </w:tblGrid>
      <w:tr>
        <w:trPr>
          <w:tblHeader w:val="true"/>
          <w:cantSplit w:val="true"/>
        </w:trPr>
        <w:tc>
          <w:tcPr>
            <w:tcW w:type="dxa" w:w="688"/>
            <w:shd w:fill="183B56"/>
            <w:tcBorders>
              <w:top w:val="single" w:sz="6" w:color="183B56"/>
              <w:left w:val="single" w:sz="6" w:color="183B56"/>
              <w:bottom w:val="single" w:sz="6" w:color="183B56"/>
              <w:right w:val="single" w:sz="6" w:color="183B56"/>
              <w:insideH w:val="single" w:sz="6" w:color="183B56"/>
              <w:insideV w:val="single" w:sz="6" w:color="183B56"/>
            </w:tcBorders>
            <w:vAlign w:val="center"/>
            <w:tcMar>
              <w:top w:w="50" w:type="dxa"/>
              <w:bottom w:w="50" w:type="dxa"/>
              <w:start w:w="120" w:type="dxa"/>
              <w:end w:w="120" w:type="dxa"/>
            </w:tcMar>
          </w:tcPr>
          <w:p>
            <w:pPr>
              <w:spacing w:after="0"/>
            </w:pPr>
            <w:r>
              <w:rPr>
                <w:b/>
                <w:color w:val="FFFFFF"/>
                <w:sz w:val="17"/>
              </w:rPr>
              <w:t>✓</w:t>
            </w:r>
          </w:p>
        </w:tc>
        <w:tc>
          <w:tcPr>
            <w:tcW w:type="dxa" w:w="5048"/>
            <w:shd w:fill="183B56"/>
            <w:tcBorders>
              <w:top w:val="single" w:sz="6" w:color="183B56"/>
              <w:left w:val="single" w:sz="6" w:color="183B56"/>
              <w:bottom w:val="single" w:sz="6" w:color="183B56"/>
              <w:right w:val="single" w:sz="6" w:color="183B56"/>
              <w:insideH w:val="single" w:sz="6" w:color="183B56"/>
              <w:insideV w:val="single" w:sz="6" w:color="183B56"/>
            </w:tcBorders>
            <w:vAlign w:val="center"/>
            <w:tcMar>
              <w:top w:w="50" w:type="dxa"/>
              <w:bottom w:w="50" w:type="dxa"/>
              <w:start w:w="120" w:type="dxa"/>
              <w:end w:w="120" w:type="dxa"/>
            </w:tcMar>
          </w:tcPr>
          <w:p>
            <w:pPr>
              <w:spacing w:after="0"/>
            </w:pPr>
            <w:r>
              <w:rPr>
                <w:b/>
                <w:color w:val="FFFFFF"/>
                <w:sz w:val="17"/>
              </w:rPr>
              <w:t>TEST</w:t>
            </w:r>
          </w:p>
        </w:tc>
        <w:tc>
          <w:tcPr>
            <w:tcW w:type="dxa" w:w="4130"/>
            <w:shd w:fill="183B56"/>
            <w:tcBorders>
              <w:top w:val="single" w:sz="6" w:color="183B56"/>
              <w:left w:val="single" w:sz="6" w:color="183B56"/>
              <w:bottom w:val="single" w:sz="6" w:color="183B56"/>
              <w:right w:val="single" w:sz="6" w:color="183B56"/>
              <w:insideH w:val="single" w:sz="6" w:color="183B56"/>
              <w:insideV w:val="single" w:sz="6" w:color="183B56"/>
            </w:tcBorders>
            <w:vAlign w:val="center"/>
            <w:tcMar>
              <w:top w:w="50" w:type="dxa"/>
              <w:bottom w:w="50" w:type="dxa"/>
              <w:start w:w="120" w:type="dxa"/>
              <w:end w:w="120" w:type="dxa"/>
            </w:tcMar>
          </w:tcPr>
          <w:p>
            <w:pPr>
              <w:spacing w:after="0"/>
            </w:pPr>
            <w:r>
              <w:rPr>
                <w:b/>
                <w:color w:val="FFFFFF"/>
                <w:sz w:val="17"/>
              </w:rPr>
              <w:t>RÉSULTAT / OBSERVATION</w:t>
            </w:r>
          </w:p>
        </w:tc>
      </w:tr>
      <w:tr>
        <w:trPr>
          <w:cantSplit w:val="true"/>
        </w:trPr>
        <w:tc>
          <w:tcPr>
            <w:tcW w:type="dxa" w:w="688"/>
            <w:shd w:fill="FFFFFF"/>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w:t>
            </w:r>
          </w:p>
        </w:tc>
        <w:tc>
          <w:tcPr>
            <w:tcW w:type="dxa" w:w="5048"/>
            <w:shd w:fill="FFFFFF"/>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Redémarrage serveur : PostgreSQL et MedCareSO fonctionnent</w:t>
            </w:r>
          </w:p>
        </w:tc>
        <w:tc>
          <w:tcPr>
            <w:tcW w:type="dxa" w:w="4130"/>
            <w:shd w:fill="FFFFFF"/>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____________________________</w:t>
            </w:r>
          </w:p>
        </w:tc>
      </w:tr>
      <w:tr>
        <w:trPr>
          <w:cantSplit w:val="true"/>
        </w:trPr>
        <w:tc>
          <w:tcPr>
            <w:tcW w:type="dxa" w:w="688"/>
            <w:shd w:fill="F5F9FC"/>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w:t>
            </w:r>
          </w:p>
        </w:tc>
        <w:tc>
          <w:tcPr>
            <w:tcW w:type="dxa" w:w="5048"/>
            <w:shd w:fill="F5F9FC"/>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Connexion locale au serveur</w:t>
            </w:r>
          </w:p>
        </w:tc>
        <w:tc>
          <w:tcPr>
            <w:tcW w:type="dxa" w:w="4130"/>
            <w:shd w:fill="F5F9FC"/>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____________________________</w:t>
            </w:r>
          </w:p>
        </w:tc>
      </w:tr>
      <w:tr>
        <w:trPr>
          <w:cantSplit w:val="true"/>
        </w:trPr>
        <w:tc>
          <w:tcPr>
            <w:tcW w:type="dxa" w:w="688"/>
            <w:shd w:fill="FFFFFF"/>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w:t>
            </w:r>
          </w:p>
        </w:tc>
        <w:tc>
          <w:tcPr>
            <w:tcW w:type="dxa" w:w="5048"/>
            <w:shd w:fill="FFFFFF"/>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Connexion de chaque poste client</w:t>
            </w:r>
          </w:p>
        </w:tc>
        <w:tc>
          <w:tcPr>
            <w:tcW w:type="dxa" w:w="4130"/>
            <w:shd w:fill="FFFFFF"/>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____________________________</w:t>
            </w:r>
          </w:p>
        </w:tc>
      </w:tr>
      <w:tr>
        <w:trPr>
          <w:cantSplit w:val="true"/>
        </w:trPr>
        <w:tc>
          <w:tcPr>
            <w:tcW w:type="dxa" w:w="688"/>
            <w:shd w:fill="F5F9FC"/>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w:t>
            </w:r>
          </w:p>
        </w:tc>
        <w:tc>
          <w:tcPr>
            <w:tcW w:type="dxa" w:w="5048"/>
            <w:shd w:fill="F5F9FC"/>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Même patient visible sur deux postes</w:t>
            </w:r>
          </w:p>
        </w:tc>
        <w:tc>
          <w:tcPr>
            <w:tcW w:type="dxa" w:w="4130"/>
            <w:shd w:fill="F5F9FC"/>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____________________________</w:t>
            </w:r>
          </w:p>
        </w:tc>
      </w:tr>
      <w:tr>
        <w:trPr>
          <w:cantSplit w:val="true"/>
        </w:trPr>
        <w:tc>
          <w:tcPr>
            <w:tcW w:type="dxa" w:w="688"/>
            <w:shd w:fill="FFFFFF"/>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w:t>
            </w:r>
          </w:p>
        </w:tc>
        <w:tc>
          <w:tcPr>
            <w:tcW w:type="dxa" w:w="5048"/>
            <w:shd w:fill="FFFFFF"/>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Licence reconnue sur tous les postes</w:t>
            </w:r>
          </w:p>
        </w:tc>
        <w:tc>
          <w:tcPr>
            <w:tcW w:type="dxa" w:w="4130"/>
            <w:shd w:fill="FFFFFF"/>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____________________________</w:t>
            </w:r>
          </w:p>
        </w:tc>
      </w:tr>
      <w:tr>
        <w:trPr>
          <w:cantSplit w:val="true"/>
        </w:trPr>
        <w:tc>
          <w:tcPr>
            <w:tcW w:type="dxa" w:w="688"/>
            <w:shd w:fill="F5F9FC"/>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w:t>
            </w:r>
          </w:p>
        </w:tc>
        <w:tc>
          <w:tcPr>
            <w:tcW w:type="dxa" w:w="5048"/>
            <w:shd w:fill="F5F9FC"/>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Comptes et permissions vérifiés</w:t>
            </w:r>
          </w:p>
        </w:tc>
        <w:tc>
          <w:tcPr>
            <w:tcW w:type="dxa" w:w="4130"/>
            <w:shd w:fill="F5F9FC"/>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____________________________</w:t>
            </w:r>
          </w:p>
        </w:tc>
      </w:tr>
      <w:tr>
        <w:trPr>
          <w:cantSplit w:val="true"/>
        </w:trPr>
        <w:tc>
          <w:tcPr>
            <w:tcW w:type="dxa" w:w="688"/>
            <w:shd w:fill="FFFFFF"/>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w:t>
            </w:r>
          </w:p>
        </w:tc>
        <w:tc>
          <w:tcPr>
            <w:tcW w:type="dxa" w:w="5048"/>
            <w:shd w:fill="FFFFFF"/>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Imprimante et scanner testés</w:t>
            </w:r>
          </w:p>
        </w:tc>
        <w:tc>
          <w:tcPr>
            <w:tcW w:type="dxa" w:w="4130"/>
            <w:shd w:fill="FFFFFF"/>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____________________________</w:t>
            </w:r>
          </w:p>
        </w:tc>
      </w:tr>
      <w:tr>
        <w:trPr>
          <w:cantSplit w:val="true"/>
        </w:trPr>
        <w:tc>
          <w:tcPr>
            <w:tcW w:type="dxa" w:w="688"/>
            <w:shd w:fill="F5F9FC"/>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w:t>
            </w:r>
          </w:p>
        </w:tc>
        <w:tc>
          <w:tcPr>
            <w:tcW w:type="dxa" w:w="5048"/>
            <w:shd w:fill="F5F9FC"/>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QR patient testé avec et sans RDV</w:t>
            </w:r>
          </w:p>
        </w:tc>
        <w:tc>
          <w:tcPr>
            <w:tcW w:type="dxa" w:w="4130"/>
            <w:shd w:fill="F5F9FC"/>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____________________________</w:t>
            </w:r>
          </w:p>
        </w:tc>
      </w:tr>
      <w:tr>
        <w:trPr>
          <w:cantSplit w:val="true"/>
        </w:trPr>
        <w:tc>
          <w:tcPr>
            <w:tcW w:type="dxa" w:w="688"/>
            <w:shd w:fill="FFFFFF"/>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w:t>
            </w:r>
          </w:p>
        </w:tc>
        <w:tc>
          <w:tcPr>
            <w:tcW w:type="dxa" w:w="5048"/>
            <w:shd w:fill="FFFFFF"/>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File d’attente mise à jour automatiquement</w:t>
            </w:r>
          </w:p>
        </w:tc>
        <w:tc>
          <w:tcPr>
            <w:tcW w:type="dxa" w:w="4130"/>
            <w:shd w:fill="FFFFFF"/>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____________________________</w:t>
            </w:r>
          </w:p>
        </w:tc>
      </w:tr>
      <w:tr>
        <w:trPr>
          <w:cantSplit w:val="true"/>
        </w:trPr>
        <w:tc>
          <w:tcPr>
            <w:tcW w:type="dxa" w:w="688"/>
            <w:shd w:fill="F5F9FC"/>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w:t>
            </w:r>
          </w:p>
        </w:tc>
        <w:tc>
          <w:tcPr>
            <w:tcW w:type="dxa" w:w="5048"/>
            <w:shd w:fill="F5F9FC"/>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Sauvegarde créée et restauration de test validée</w:t>
            </w:r>
          </w:p>
        </w:tc>
        <w:tc>
          <w:tcPr>
            <w:tcW w:type="dxa" w:w="4130"/>
            <w:shd w:fill="F5F9FC"/>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____________________________</w:t>
            </w:r>
          </w:p>
        </w:tc>
      </w:tr>
    </w:tbl>
    <w:p>
      <w:pPr>
        <w:spacing w:after="20"/>
      </w:pPr>
    </w:p>
    <w:p>
      <w:pPr>
        <w:pStyle w:val="Heading1"/>
        <w:keepNext/>
      </w:pPr>
      <w:r>
        <w:t>12. Dépannage rapide</w:t>
      </w:r>
    </w:p>
    <w:tbl>
      <w:tblPr>
        <w:tblStyle w:val="TableGrid"/>
        <w:tblW w:type="dxa" w:w="9866"/>
        <w:jc w:val="left"/>
        <w:tblLayout w:type="fixed"/>
        <w:tblLook w:firstColumn="1" w:firstRow="1" w:lastColumn="0" w:lastRow="0" w:noHBand="0" w:noVBand="1" w:val="04A0"/>
        <w:tblInd w:type="dxa" w:w="120"/>
      </w:tblPr>
      <w:tblGrid>
        <w:gridCol w:w="2618"/>
        <w:gridCol w:w="2920"/>
        <w:gridCol w:w="4328"/>
      </w:tblGrid>
      <w:tr>
        <w:trPr>
          <w:tblHeader w:val="true"/>
          <w:cantSplit w:val="true"/>
        </w:trPr>
        <w:tc>
          <w:tcPr>
            <w:tcW w:type="dxa" w:w="2618"/>
            <w:shd w:fill="183B56"/>
            <w:tcBorders>
              <w:top w:val="single" w:sz="6" w:color="183B56"/>
              <w:left w:val="single" w:sz="6" w:color="183B56"/>
              <w:bottom w:val="single" w:sz="6" w:color="183B56"/>
              <w:right w:val="single" w:sz="6" w:color="183B56"/>
              <w:insideH w:val="single" w:sz="6" w:color="183B56"/>
              <w:insideV w:val="single" w:sz="6" w:color="183B56"/>
            </w:tcBorders>
            <w:vAlign w:val="center"/>
            <w:tcMar>
              <w:top w:w="50" w:type="dxa"/>
              <w:bottom w:w="50" w:type="dxa"/>
              <w:start w:w="120" w:type="dxa"/>
              <w:end w:w="120" w:type="dxa"/>
            </w:tcMar>
          </w:tcPr>
          <w:p>
            <w:pPr>
              <w:spacing w:after="0"/>
            </w:pPr>
            <w:r>
              <w:rPr>
                <w:b/>
                <w:color w:val="FFFFFF"/>
                <w:sz w:val="17"/>
              </w:rPr>
              <w:t>SYMPTÔME</w:t>
            </w:r>
          </w:p>
        </w:tc>
        <w:tc>
          <w:tcPr>
            <w:tcW w:type="dxa" w:w="2920"/>
            <w:shd w:fill="183B56"/>
            <w:tcBorders>
              <w:top w:val="single" w:sz="6" w:color="183B56"/>
              <w:left w:val="single" w:sz="6" w:color="183B56"/>
              <w:bottom w:val="single" w:sz="6" w:color="183B56"/>
              <w:right w:val="single" w:sz="6" w:color="183B56"/>
              <w:insideH w:val="single" w:sz="6" w:color="183B56"/>
              <w:insideV w:val="single" w:sz="6" w:color="183B56"/>
            </w:tcBorders>
            <w:vAlign w:val="center"/>
            <w:tcMar>
              <w:top w:w="50" w:type="dxa"/>
              <w:bottom w:w="50" w:type="dxa"/>
              <w:start w:w="120" w:type="dxa"/>
              <w:end w:w="120" w:type="dxa"/>
            </w:tcMar>
          </w:tcPr>
          <w:p>
            <w:pPr>
              <w:spacing w:after="0"/>
            </w:pPr>
            <w:r>
              <w:rPr>
                <w:b/>
                <w:color w:val="FFFFFF"/>
                <w:sz w:val="17"/>
              </w:rPr>
              <w:t>CAUSE PROBABLE</w:t>
            </w:r>
          </w:p>
        </w:tc>
        <w:tc>
          <w:tcPr>
            <w:tcW w:type="dxa" w:w="4328"/>
            <w:shd w:fill="183B56"/>
            <w:tcBorders>
              <w:top w:val="single" w:sz="6" w:color="183B56"/>
              <w:left w:val="single" w:sz="6" w:color="183B56"/>
              <w:bottom w:val="single" w:sz="6" w:color="183B56"/>
              <w:right w:val="single" w:sz="6" w:color="183B56"/>
              <w:insideH w:val="single" w:sz="6" w:color="183B56"/>
              <w:insideV w:val="single" w:sz="6" w:color="183B56"/>
            </w:tcBorders>
            <w:vAlign w:val="center"/>
            <w:tcMar>
              <w:top w:w="50" w:type="dxa"/>
              <w:bottom w:w="50" w:type="dxa"/>
              <w:start w:w="120" w:type="dxa"/>
              <w:end w:w="120" w:type="dxa"/>
            </w:tcMar>
          </w:tcPr>
          <w:p>
            <w:pPr>
              <w:spacing w:after="0"/>
            </w:pPr>
            <w:r>
              <w:rPr>
                <w:b/>
                <w:color w:val="FFFFFF"/>
                <w:sz w:val="17"/>
              </w:rPr>
              <w:t>ACTION</w:t>
            </w:r>
          </w:p>
        </w:tc>
      </w:tr>
      <w:tr>
        <w:trPr>
          <w:cantSplit w:val="true"/>
        </w:trPr>
        <w:tc>
          <w:tcPr>
            <w:tcW w:type="dxa" w:w="2618"/>
            <w:shd w:fill="FFFFFF"/>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Timeout PostgreSQL</w:t>
            </w:r>
          </w:p>
        </w:tc>
        <w:tc>
          <w:tcPr>
            <w:tcW w:type="dxa" w:w="2920"/>
            <w:shd w:fill="FFFFFF"/>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Port, service, IP ou pare-feu</w:t>
            </w:r>
          </w:p>
        </w:tc>
        <w:tc>
          <w:tcPr>
            <w:tcW w:type="dxa" w:w="4328"/>
            <w:shd w:fill="FFFFFF"/>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Tester 5432, confirmer l’IP réservée, le service et la règle Privé</w:t>
            </w:r>
          </w:p>
        </w:tc>
      </w:tr>
      <w:tr>
        <w:trPr>
          <w:cantSplit w:val="true"/>
        </w:trPr>
        <w:tc>
          <w:tcPr>
            <w:tcW w:type="dxa" w:w="2618"/>
            <w:shd w:fill="F5F9FC"/>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no pg_hba.conf entry</w:t>
            </w:r>
          </w:p>
        </w:tc>
        <w:tc>
          <w:tcPr>
            <w:tcW w:type="dxa" w:w="2920"/>
            <w:shd w:fill="F5F9FC"/>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Sous-réseau ou base non autorisé</w:t>
            </w:r>
          </w:p>
        </w:tc>
        <w:tc>
          <w:tcPr>
            <w:tcW w:type="dxa" w:w="4328"/>
            <w:shd w:fill="F5F9FC"/>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Ajouter une règle cabinet_db / cabinet_app limitée au sous-réseau, puis redémarrer PostgreSQL</w:t>
            </w:r>
          </w:p>
        </w:tc>
      </w:tr>
      <w:tr>
        <w:trPr>
          <w:cantSplit w:val="true"/>
        </w:trPr>
        <w:tc>
          <w:tcPr>
            <w:tcW w:type="dxa" w:w="2618"/>
            <w:shd w:fill="FFFFFF"/>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Erreur mentionnant database postgres</w:t>
            </w:r>
          </w:p>
        </w:tc>
        <w:tc>
          <w:tcPr>
            <w:tcW w:type="dxa" w:w="2920"/>
            <w:shd w:fill="FFFFFF"/>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Ancienne version ou configuration obsolète</w:t>
            </w:r>
          </w:p>
        </w:tc>
        <w:tc>
          <w:tcPr>
            <w:tcW w:type="dxa" w:w="4328"/>
            <w:shd w:fill="FFFFFF"/>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Mettre à jour tous les postes ; ne pas ouvrir l’accès de cabinet_app à la base système</w:t>
            </w:r>
          </w:p>
        </w:tc>
      </w:tr>
      <w:tr>
        <w:trPr>
          <w:cantSplit w:val="true"/>
        </w:trPr>
        <w:tc>
          <w:tcPr>
            <w:tcW w:type="dxa" w:w="2618"/>
            <w:shd w:fill="F5F9FC"/>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Tester fonctionne, Sauvegarder échoue</w:t>
            </w:r>
          </w:p>
        </w:tc>
        <w:tc>
          <w:tcPr>
            <w:tcW w:type="dxa" w:w="2920"/>
            <w:shd w:fill="F5F9FC"/>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Un ancien composant relance un test vers une mauvaise base</w:t>
            </w:r>
          </w:p>
        </w:tc>
        <w:tc>
          <w:tcPr>
            <w:tcW w:type="dxa" w:w="4328"/>
            <w:shd w:fill="F5F9FC"/>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Vérifier la version sur ce PC et réinstaller la même version que le serveur</w:t>
            </w:r>
          </w:p>
        </w:tc>
      </w:tr>
      <w:tr>
        <w:trPr>
          <w:cantSplit w:val="true"/>
        </w:trPr>
        <w:tc>
          <w:tcPr>
            <w:tcW w:type="dxa" w:w="2618"/>
            <w:shd w:fill="FFFFFF"/>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Nom ou mot de passe incorrect</w:t>
            </w:r>
          </w:p>
        </w:tc>
        <w:tc>
          <w:tcPr>
            <w:tcW w:type="dxa" w:w="2920"/>
            <w:shd w:fill="FFFFFF"/>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Poste connecté à une autre base ou compte absent</w:t>
            </w:r>
          </w:p>
        </w:tc>
        <w:tc>
          <w:tcPr>
            <w:tcW w:type="dxa" w:w="4328"/>
            <w:shd w:fill="FFFFFF"/>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Contrôler le fichier de configuration, la base cabinet_db et la création du compte</w:t>
            </w:r>
          </w:p>
        </w:tc>
      </w:tr>
      <w:tr>
        <w:trPr>
          <w:cantSplit w:val="true"/>
        </w:trPr>
        <w:tc>
          <w:tcPr>
            <w:tcW w:type="dxa" w:w="2618"/>
            <w:shd w:fill="F5F9FC"/>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Licence retirée d’un autre PC</w:t>
            </w:r>
          </w:p>
        </w:tc>
        <w:tc>
          <w:tcPr>
            <w:tcW w:type="dxa" w:w="2920"/>
            <w:shd w:fill="F5F9FC"/>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Versions incompatibles / ancien système de licence</w:t>
            </w:r>
          </w:p>
        </w:tc>
        <w:tc>
          <w:tcPr>
            <w:tcW w:type="dxa" w:w="4328"/>
            <w:shd w:fill="F5F9FC"/>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Installer la même version actuelle sur tous les postes et réactiver une fois</w:t>
            </w:r>
          </w:p>
        </w:tc>
      </w:tr>
      <w:tr>
        <w:trPr>
          <w:cantSplit w:val="true"/>
        </w:trPr>
        <w:tc>
          <w:tcPr>
            <w:tcW w:type="dxa" w:w="2618"/>
            <w:shd w:fill="FFFFFF"/>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QR inaccessible</w:t>
            </w:r>
          </w:p>
        </w:tc>
        <w:tc>
          <w:tcPr>
            <w:tcW w:type="dxa" w:w="2920"/>
            <w:shd w:fill="FFFFFF"/>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Application fermée, mauvais Wi-Fi, IP changée ou port 4580 bloqué</w:t>
            </w:r>
          </w:p>
        </w:tc>
        <w:tc>
          <w:tcPr>
            <w:tcW w:type="dxa" w:w="4328"/>
            <w:shd w:fill="FFFFFF"/>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Ouvrir MedCareSO sur le serveur, vérifier IP, Wi-Fi privé et pare-feu</w:t>
            </w:r>
          </w:p>
        </w:tc>
      </w:tr>
      <w:tr>
        <w:trPr>
          <w:cantSplit w:val="true"/>
        </w:trPr>
        <w:tc>
          <w:tcPr>
            <w:tcW w:type="dxa" w:w="2618"/>
            <w:shd w:fill="F5F9FC"/>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Application se ferme immédiatement</w:t>
            </w:r>
          </w:p>
        </w:tc>
        <w:tc>
          <w:tcPr>
            <w:tcW w:type="dxa" w:w="2920"/>
            <w:shd w:fill="F5F9FC"/>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ELECTRON_RUN_AS_NODE=1 dans l’environnement Windows</w:t>
            </w:r>
          </w:p>
        </w:tc>
        <w:tc>
          <w:tcPr>
            <w:tcW w:type="dxa" w:w="4328"/>
            <w:shd w:fill="F5F9FC"/>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Supprimer la variable utilisateur, puis fermer et relancer l’application</w:t>
            </w:r>
          </w:p>
        </w:tc>
      </w:tr>
      <w:tr>
        <w:trPr>
          <w:cantSplit w:val="true"/>
        </w:trPr>
        <w:tc>
          <w:tcPr>
            <w:tcW w:type="dxa" w:w="2618"/>
            <w:shd w:fill="FFFFFF"/>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Windows bloque l’installateur</w:t>
            </w:r>
          </w:p>
        </w:tc>
        <w:tc>
          <w:tcPr>
            <w:tcW w:type="dxa" w:w="2920"/>
            <w:shd w:fill="FFFFFF"/>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Binaire non signé ou non reconnu</w:t>
            </w:r>
          </w:p>
        </w:tc>
        <w:tc>
          <w:tcPr>
            <w:tcW w:type="dxa" w:w="4328"/>
            <w:shd w:fill="FFFFFF"/>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Vérifier la source et utiliser un installateur signé / procédure approuvée</w:t>
            </w:r>
          </w:p>
        </w:tc>
      </w:tr>
    </w:tbl>
    <w:p>
      <w:pPr>
        <w:spacing w:after="20"/>
      </w:pPr>
    </w:p>
    <w:p>
      <w:pPr>
        <w:pStyle w:val="Heading2"/>
        <w:keepNext/>
      </w:pPr>
      <w:r>
        <w:t>Commande de correction Electron</w:t>
      </w:r>
    </w:p>
    <w:p>
      <w:pPr>
        <w:pStyle w:val="CodeBlock"/>
      </w:pPr>
      <w:r>
        <w:t>$env:ELECTRON_RUN_AS_NODE</w:t>
        <w:br/>
        <w:t>[Environment]::SetEnvironmentVariable('ELECTRON_RUN_AS_NODE', $null, 'User')</w:t>
      </w:r>
    </w:p>
    <w:p>
      <w:pPr>
        <w:pStyle w:val="Heading1"/>
        <w:keepNext/>
      </w:pPr>
      <w:r>
        <w:t>13. Cas d’un cabinet existant : migration contrôlée</w:t>
      </w:r>
    </w:p>
    <w:p>
      <w:pPr>
        <w:pStyle w:val="BodyCompact"/>
        <w:numPr>
          <w:ilvl w:val="0"/>
          <w:numId w:val="11"/>
        </w:numPr>
      </w:pPr>
      <w:r>
        <w:t>Faire une copie complète de l’ancienne base avant toute opération.</w:t>
      </w:r>
    </w:p>
    <w:p>
      <w:pPr>
        <w:pStyle w:val="BodyCompact"/>
        <w:numPr>
          <w:ilvl w:val="0"/>
          <w:numId w:val="11"/>
        </w:numPr>
      </w:pPr>
      <w:r>
        <w:t>Installer et migrer d’abord sur un poste de test, jamais directement sur l’unique production.</w:t>
      </w:r>
    </w:p>
    <w:p>
      <w:pPr>
        <w:pStyle w:val="BodyCompact"/>
        <w:numPr>
          <w:ilvl w:val="0"/>
          <w:numId w:val="11"/>
        </w:numPr>
      </w:pPr>
      <w:r>
        <w:t>Comparer les volumes : patients, rendez-vous, plans de traitement, paiements, dettes et inventaire.</w:t>
      </w:r>
    </w:p>
    <w:p>
      <w:pPr>
        <w:pStyle w:val="BodyCompact"/>
        <w:numPr>
          <w:ilvl w:val="0"/>
          <w:numId w:val="11"/>
        </w:numPr>
      </w:pPr>
      <w:r>
        <w:t>Ouvrir manuellement trois ou quatre dossiers patients connus et comparer les informations clés.</w:t>
      </w:r>
    </w:p>
    <w:p>
      <w:pPr>
        <w:pStyle w:val="BodyCompact"/>
        <w:numPr>
          <w:ilvl w:val="0"/>
          <w:numId w:val="11"/>
        </w:numPr>
      </w:pPr>
      <w:r>
        <w:t>Faire une sauvegarde finale juste avant la bascule, puis arrêter les écritures dans l’ancien système.</w:t>
      </w:r>
    </w:p>
    <w:p>
      <w:pPr>
        <w:pStyle w:val="BodyCompact"/>
        <w:numPr>
          <w:ilvl w:val="0"/>
          <w:numId w:val="11"/>
        </w:numPr>
      </w:pPr>
      <w:r>
        <w:t>Conserver l’ancienne base en lecture seule pendant un à deux mois selon la politique du cabinet.</w:t>
      </w:r>
    </w:p>
    <w:tbl>
      <w:tblPr>
        <w:tblW w:type="dxa" w:w="9866"/>
        <w:jc w:val="left"/>
        <w:tblLayout w:type="fixed"/>
        <w:tblLook w:firstColumn="1" w:firstRow="1" w:lastColumn="0" w:lastRow="0" w:noHBand="0" w:noVBand="1" w:val="04A0"/>
        <w:tblInd w:type="dxa" w:w="120"/>
      </w:tblPr>
      <w:tblGrid>
        <w:gridCol w:w="9866"/>
      </w:tblGrid>
      <w:tr>
        <w:trPr>
          <w:tblHeader w:val="true"/>
        </w:trPr>
        <w:tc>
          <w:tcPr>
            <w:tcW w:type="dxa" w:w="9866"/>
            <w:shd w:fill="FCECEC"/>
            <w:tcBorders>
              <w:top w:val="single" w:sz="8" w:color="A73535"/>
              <w:left w:val="single" w:sz="8" w:color="A73535"/>
              <w:bottom w:val="single" w:sz="8" w:color="A73535"/>
              <w:right w:val="single" w:sz="8" w:color="A73535"/>
              <w:insideH w:val="single" w:sz="8" w:color="A73535"/>
              <w:insideV w:val="single" w:sz="8" w:color="A73535"/>
            </w:tcBorders>
            <w:vAlign w:val="center"/>
            <w:tcMar>
              <w:top w:w="80" w:type="dxa"/>
              <w:bottom w:w="80" w:type="dxa"/>
              <w:start w:w="120" w:type="dxa"/>
              <w:end w:w="120" w:type="dxa"/>
            </w:tcMar>
          </w:tcPr>
          <w:p>
            <w:pPr>
              <w:spacing w:after="40"/>
            </w:pPr>
            <w:r>
              <w:rPr>
                <w:b/>
                <w:color w:val="A73535"/>
              </w:rPr>
              <w:t>GO / NO-GO</w:t>
            </w:r>
          </w:p>
          <w:p>
            <w:pPr>
              <w:pStyle w:val="BodyCompact"/>
              <w:spacing w:after="0"/>
            </w:pPr>
            <w:r>
              <w:t>Ne mettre le nouveau système en production que lorsque les contrôles de données, la sauvegarde et la restauration sont tous validés.</w:t>
            </w:r>
          </w:p>
        </w:tc>
      </w:tr>
    </w:tbl>
    <w:p>
      <w:pPr>
        <w:spacing w:after="20"/>
      </w:pPr>
    </w:p>
    <w:p>
      <w:pPr>
        <w:pStyle w:val="Heading1"/>
        <w:keepNext/>
      </w:pPr>
      <w:r>
        <w:t>14. Remise au cabinet</w:t>
      </w:r>
    </w:p>
    <w:tbl>
      <w:tblPr>
        <w:tblStyle w:val="TableGrid"/>
        <w:tblW w:type="dxa" w:w="9866"/>
        <w:jc w:val="left"/>
        <w:tblLayout w:type="fixed"/>
        <w:tblLook w:firstColumn="1" w:firstRow="1" w:lastColumn="0" w:lastRow="0" w:noHBand="0" w:noVBand="1" w:val="04A0"/>
        <w:tblInd w:type="dxa" w:w="120"/>
      </w:tblPr>
      <w:tblGrid>
        <w:gridCol w:w="2579"/>
        <w:gridCol w:w="7287"/>
      </w:tblGrid>
      <w:tr>
        <w:trPr>
          <w:tblHeader w:val="true"/>
          <w:cantSplit w:val="true"/>
        </w:trPr>
        <w:tc>
          <w:tcPr>
            <w:tcW w:type="dxa" w:w="2579"/>
            <w:shd w:fill="183B56"/>
            <w:tcBorders>
              <w:top w:val="single" w:sz="6" w:color="183B56"/>
              <w:left w:val="single" w:sz="6" w:color="183B56"/>
              <w:bottom w:val="single" w:sz="6" w:color="183B56"/>
              <w:right w:val="single" w:sz="6" w:color="183B56"/>
              <w:insideH w:val="single" w:sz="6" w:color="183B56"/>
              <w:insideV w:val="single" w:sz="6" w:color="183B56"/>
            </w:tcBorders>
            <w:vAlign w:val="center"/>
            <w:tcMar>
              <w:top w:w="50" w:type="dxa"/>
              <w:bottom w:w="50" w:type="dxa"/>
              <w:start w:w="120" w:type="dxa"/>
              <w:end w:w="120" w:type="dxa"/>
            </w:tcMar>
          </w:tcPr>
          <w:p>
            <w:pPr>
              <w:spacing w:after="0"/>
            </w:pPr>
            <w:r>
              <w:rPr>
                <w:b/>
                <w:color w:val="FFFFFF"/>
                <w:sz w:val="17"/>
              </w:rPr>
              <w:t>ÉLÉMENT REMIS</w:t>
            </w:r>
          </w:p>
        </w:tc>
        <w:tc>
          <w:tcPr>
            <w:tcW w:type="dxa" w:w="7287"/>
            <w:shd w:fill="183B56"/>
            <w:tcBorders>
              <w:top w:val="single" w:sz="6" w:color="183B56"/>
              <w:left w:val="single" w:sz="6" w:color="183B56"/>
              <w:bottom w:val="single" w:sz="6" w:color="183B56"/>
              <w:right w:val="single" w:sz="6" w:color="183B56"/>
              <w:insideH w:val="single" w:sz="6" w:color="183B56"/>
              <w:insideV w:val="single" w:sz="6" w:color="183B56"/>
            </w:tcBorders>
            <w:vAlign w:val="center"/>
            <w:tcMar>
              <w:top w:w="50" w:type="dxa"/>
              <w:bottom w:w="50" w:type="dxa"/>
              <w:start w:w="120" w:type="dxa"/>
              <w:end w:w="120" w:type="dxa"/>
            </w:tcMar>
          </w:tcPr>
          <w:p>
            <w:pPr>
              <w:spacing w:after="0"/>
            </w:pPr>
            <w:r>
              <w:rPr>
                <w:b/>
                <w:color w:val="FFFFFF"/>
                <w:sz w:val="17"/>
              </w:rPr>
              <w:t>CONTENU</w:t>
            </w:r>
          </w:p>
        </w:tc>
      </w:tr>
      <w:tr>
        <w:trPr>
          <w:cantSplit w:val="true"/>
        </w:trPr>
        <w:tc>
          <w:tcPr>
            <w:tcW w:type="dxa" w:w="2579"/>
            <w:shd w:fill="FFFFFF"/>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Fiche technique</w:t>
            </w:r>
          </w:p>
        </w:tc>
        <w:tc>
          <w:tcPr>
            <w:tcW w:type="dxa" w:w="7287"/>
            <w:shd w:fill="FFFFFF"/>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Nom et IPv4 du serveur, port 5432, base cabinet_db, version MedCareSO</w:t>
            </w:r>
          </w:p>
        </w:tc>
      </w:tr>
      <w:tr>
        <w:trPr>
          <w:cantSplit w:val="true"/>
        </w:trPr>
        <w:tc>
          <w:tcPr>
            <w:tcW w:type="dxa" w:w="2579"/>
            <w:shd w:fill="F5F9FC"/>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Secrets</w:t>
            </w:r>
          </w:p>
        </w:tc>
        <w:tc>
          <w:tcPr>
            <w:tcW w:type="dxa" w:w="7287"/>
            <w:shd w:fill="F5F9FC"/>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Mots de passe remis séparément au responsable autorisé</w:t>
            </w:r>
          </w:p>
        </w:tc>
      </w:tr>
      <w:tr>
        <w:trPr>
          <w:cantSplit w:val="true"/>
        </w:trPr>
        <w:tc>
          <w:tcPr>
            <w:tcW w:type="dxa" w:w="2579"/>
            <w:shd w:fill="FFFFFF"/>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Installation</w:t>
            </w:r>
          </w:p>
        </w:tc>
        <w:tc>
          <w:tcPr>
            <w:tcW w:type="dxa" w:w="7287"/>
            <w:shd w:fill="FFFFFF"/>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Copie vérifiée de l’installateur et, si disponible, son empreinte SHA-256</w:t>
            </w:r>
          </w:p>
        </w:tc>
      </w:tr>
      <w:tr>
        <w:trPr>
          <w:cantSplit w:val="true"/>
        </w:trPr>
        <w:tc>
          <w:tcPr>
            <w:tcW w:type="dxa" w:w="2579"/>
            <w:shd w:fill="F5F9FC"/>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Sauvegarde</w:t>
            </w:r>
          </w:p>
        </w:tc>
        <w:tc>
          <w:tcPr>
            <w:tcW w:type="dxa" w:w="7287"/>
            <w:shd w:fill="F5F9FC"/>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Emplacement, fréquence, rétention, responsable et dernière restauration testée</w:t>
            </w:r>
          </w:p>
        </w:tc>
      </w:tr>
      <w:tr>
        <w:trPr>
          <w:cantSplit w:val="true"/>
        </w:trPr>
        <w:tc>
          <w:tcPr>
            <w:tcW w:type="dxa" w:w="2579"/>
            <w:shd w:fill="FFFFFF"/>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Portail</w:t>
            </w:r>
          </w:p>
        </w:tc>
        <w:tc>
          <w:tcPr>
            <w:tcW w:type="dxa" w:w="7287"/>
            <w:shd w:fill="FFFFFF"/>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QR imprimé, URL locale et consigne de maintenir le serveur actif</w:t>
            </w:r>
          </w:p>
        </w:tc>
      </w:tr>
      <w:tr>
        <w:trPr>
          <w:cantSplit w:val="true"/>
        </w:trPr>
        <w:tc>
          <w:tcPr>
            <w:tcW w:type="dxa" w:w="2579"/>
            <w:shd w:fill="F5F9FC"/>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Support</w:t>
            </w:r>
          </w:p>
        </w:tc>
        <w:tc>
          <w:tcPr>
            <w:tcW w:type="dxa" w:w="7287"/>
            <w:shd w:fill="F5F9FC"/>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Contact, horaires et procédure en cas d’incident</w:t>
            </w:r>
          </w:p>
        </w:tc>
      </w:tr>
    </w:tbl>
    <w:p>
      <w:pPr>
        <w:spacing w:after="20"/>
      </w:pPr>
    </w:p>
    <w:p>
      <w:pPr>
        <w:spacing w:after="200"/>
      </w:pPr>
    </w:p>
    <w:tbl>
      <w:tblPr>
        <w:tblStyle w:val="TableGrid"/>
        <w:tblW w:type="dxa" w:w="9866"/>
        <w:jc w:val="left"/>
        <w:tblLayout w:type="fixed"/>
        <w:tblLook w:firstColumn="1" w:firstRow="1" w:lastColumn="0" w:lastRow="0" w:noHBand="0" w:noVBand="1" w:val="04A0"/>
        <w:tblInd w:type="dxa" w:w="120"/>
      </w:tblPr>
      <w:tblGrid>
        <w:gridCol w:w="2960"/>
        <w:gridCol w:w="6906"/>
      </w:tblGrid>
      <w:tr>
        <w:trPr>
          <w:tblHeader w:val="true"/>
          <w:cantSplit w:val="true"/>
        </w:trPr>
        <w:tc>
          <w:tcPr>
            <w:tcW w:type="dxa" w:w="2960"/>
            <w:shd w:fill="183B56"/>
            <w:tcBorders>
              <w:top w:val="single" w:sz="6" w:color="183B56"/>
              <w:left w:val="single" w:sz="6" w:color="183B56"/>
              <w:bottom w:val="single" w:sz="6" w:color="183B56"/>
              <w:right w:val="single" w:sz="6" w:color="183B56"/>
              <w:insideH w:val="single" w:sz="6" w:color="183B56"/>
              <w:insideV w:val="single" w:sz="6" w:color="183B56"/>
            </w:tcBorders>
            <w:vAlign w:val="center"/>
            <w:tcMar>
              <w:top w:w="50" w:type="dxa"/>
              <w:bottom w:w="50" w:type="dxa"/>
              <w:start w:w="120" w:type="dxa"/>
              <w:end w:w="120" w:type="dxa"/>
            </w:tcMar>
          </w:tcPr>
          <w:p>
            <w:pPr>
              <w:spacing w:after="0"/>
            </w:pPr>
            <w:r>
              <w:rPr>
                <w:b/>
                <w:color w:val="FFFFFF"/>
                <w:sz w:val="17"/>
              </w:rPr>
              <w:t>VALIDATION</w:t>
            </w:r>
          </w:p>
        </w:tc>
        <w:tc>
          <w:tcPr>
            <w:tcW w:type="dxa" w:w="6906"/>
            <w:shd w:fill="183B56"/>
            <w:tcBorders>
              <w:top w:val="single" w:sz="6" w:color="183B56"/>
              <w:left w:val="single" w:sz="6" w:color="183B56"/>
              <w:bottom w:val="single" w:sz="6" w:color="183B56"/>
              <w:right w:val="single" w:sz="6" w:color="183B56"/>
              <w:insideH w:val="single" w:sz="6" w:color="183B56"/>
              <w:insideV w:val="single" w:sz="6" w:color="183B56"/>
            </w:tcBorders>
            <w:vAlign w:val="center"/>
            <w:tcMar>
              <w:top w:w="50" w:type="dxa"/>
              <w:bottom w:w="50" w:type="dxa"/>
              <w:start w:w="120" w:type="dxa"/>
              <w:end w:w="120" w:type="dxa"/>
            </w:tcMar>
          </w:tcPr>
          <w:p>
            <w:pPr>
              <w:spacing w:after="0"/>
            </w:pPr>
            <w:r>
              <w:rPr>
                <w:b/>
                <w:color w:val="FFFFFF"/>
                <w:sz w:val="17"/>
              </w:rPr>
              <w:t>NOM / DATE / SIGNATURE</w:t>
            </w:r>
          </w:p>
        </w:tc>
      </w:tr>
      <w:tr>
        <w:trPr>
          <w:cantSplit w:val="true"/>
        </w:trPr>
        <w:tc>
          <w:tcPr>
            <w:tcW w:type="dxa" w:w="2960"/>
            <w:shd w:fill="FFFFFF"/>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Installateur</w:t>
            </w:r>
          </w:p>
        </w:tc>
        <w:tc>
          <w:tcPr>
            <w:tcW w:type="dxa" w:w="6906"/>
            <w:shd w:fill="FFFFFF"/>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________________________________________________</w:t>
            </w:r>
          </w:p>
        </w:tc>
      </w:tr>
      <w:tr>
        <w:trPr>
          <w:cantSplit w:val="true"/>
        </w:trPr>
        <w:tc>
          <w:tcPr>
            <w:tcW w:type="dxa" w:w="2960"/>
            <w:shd w:fill="F5F9FC"/>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Responsable du cabinet</w:t>
            </w:r>
          </w:p>
        </w:tc>
        <w:tc>
          <w:tcPr>
            <w:tcW w:type="dxa" w:w="6906"/>
            <w:shd w:fill="F5F9FC"/>
            <w:tcBorders>
              <w:top w:val="single" w:sz="5" w:color="CBD9E4"/>
              <w:left w:val="single" w:sz="5" w:color="CBD9E4"/>
              <w:bottom w:val="single" w:sz="5" w:color="CBD9E4"/>
              <w:right w:val="single" w:sz="5" w:color="CBD9E4"/>
              <w:insideH w:val="single" w:sz="5" w:color="CBD9E4"/>
              <w:insideV w:val="single" w:sz="5" w:color="CBD9E4"/>
            </w:tcBorders>
            <w:vAlign w:val="top"/>
            <w:tcMar>
              <w:top w:w="50" w:type="dxa"/>
              <w:bottom w:w="50" w:type="dxa"/>
              <w:start w:w="120" w:type="dxa"/>
              <w:end w:w="120" w:type="dxa"/>
            </w:tcMar>
          </w:tcPr>
          <w:p>
            <w:pPr>
              <w:pStyle w:val="TableText"/>
            </w:pPr>
            <w:r>
              <w:t>________________________________________________</w:t>
            </w:r>
          </w:p>
        </w:tc>
      </w:tr>
    </w:tbl>
    <w:p>
      <w:pPr>
        <w:spacing w:after="20"/>
      </w:pPr>
    </w:p>
    <w:tbl>
      <w:tblPr>
        <w:tblW w:type="dxa" w:w="9866"/>
        <w:jc w:val="left"/>
        <w:tblLayout w:type="fixed"/>
        <w:tblLook w:firstColumn="1" w:firstRow="1" w:lastColumn="0" w:lastRow="0" w:noHBand="0" w:noVBand="1" w:val="04A0"/>
        <w:tblInd w:type="dxa" w:w="120"/>
      </w:tblPr>
      <w:tblGrid>
        <w:gridCol w:w="9866"/>
      </w:tblGrid>
      <w:tr>
        <w:trPr>
          <w:tblHeader w:val="true"/>
        </w:trPr>
        <w:tc>
          <w:tcPr>
            <w:tcW w:type="dxa" w:w="9866"/>
            <w:shd w:fill="EAF6F0"/>
            <w:tcBorders>
              <w:top w:val="single" w:sz="8" w:color="1F7A5A"/>
              <w:left w:val="single" w:sz="8" w:color="1F7A5A"/>
              <w:bottom w:val="single" w:sz="8" w:color="1F7A5A"/>
              <w:right w:val="single" w:sz="8" w:color="1F7A5A"/>
              <w:insideH w:val="single" w:sz="8" w:color="1F7A5A"/>
              <w:insideV w:val="single" w:sz="8" w:color="1F7A5A"/>
            </w:tcBorders>
            <w:vAlign w:val="center"/>
            <w:tcMar>
              <w:top w:w="80" w:type="dxa"/>
              <w:bottom w:w="80" w:type="dxa"/>
              <w:start w:w="120" w:type="dxa"/>
              <w:end w:w="120" w:type="dxa"/>
            </w:tcMar>
          </w:tcPr>
          <w:p>
            <w:pPr>
              <w:spacing w:after="40"/>
            </w:pPr>
            <w:r>
              <w:rPr>
                <w:b/>
                <w:color w:val="1F7A5A"/>
              </w:rPr>
              <w:t>INSTALLATION TERMINÉE</w:t>
            </w:r>
          </w:p>
          <w:p>
            <w:pPr>
              <w:pStyle w:val="BodyCompact"/>
              <w:spacing w:after="0"/>
            </w:pPr>
            <w:r>
              <w:t>Le cabinet est prêt lorsque les tests de la section 11 sont validés, la sauvegarde est opérationnelle et le responsable a reçu les informations de remise.</w:t>
            </w:r>
          </w:p>
        </w:tc>
      </w:tr>
    </w:tbl>
    <w:p>
      <w:pPr>
        <w:spacing w:after="20"/>
      </w:pPr>
    </w:p>
    <w:sectPr w:rsidR="00FC693F" w:rsidRPr="0006063C" w:rsidSect="00034616">
      <w:headerReference w:type="default" r:id="rId9"/>
      <w:footerReference w:type="default" r:id="rId10"/>
      <w:pgSz w:w="11906" w:h="16838"/>
      <w:pgMar w:top="935" w:right="1020" w:bottom="879" w:left="1020" w:header="425"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Aptos" w:hAnsi="Aptos"/>
        <w:color w:val="5F6F7F"/>
        <w:sz w:val="15"/>
      </w:rPr>
      <w:t xml:space="preserve">Document opérationnel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ptos" w:hAnsi="Aptos"/>
        <w:b/>
        <w:color w:val="5F6F7F"/>
        <w:sz w:val="15"/>
      </w:rPr>
      <w:t>MEDCARESO 2.1.1  /  GUIDE D’INSTALLATION CABINET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pPr>
      <w:rPr>
        <w:rFonts w:ascii="Arial" w:hAnsi="Arial"/>
      </w:rPr>
    </w:lvl>
  </w:abstractNum>
  <w:num w:numId="10">
    <w:abstractNumId w:val="9"/>
  </w:num>
  <w:abstractNum w:abstractNumId="10">
    <w:multiLevelType w:val="singleLevel"/>
    <w:lvl w:ilvl="0">
      <w:start w:val="1"/>
      <w:numFmt w:val="decimal"/>
      <w:lvlText w:val="%1."/>
      <w:suff w:val="tab"/>
      <w:pPr>
        <w:tabs>
          <w:tab w:val="num" w:pos="540"/>
        </w:tabs>
        <w:ind w:left="540" w:hanging="27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Aptos" w:hAnsi="Aptos"/>
      <w:color w:val="202C39"/>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83B56"/>
      <w:sz w:val="36"/>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w:hAnsi="Aptos"/>
      <w:b/>
      <w:bCs/>
      <w:color w:val="236A9B"/>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ptos" w:hAnsi="Aptos"/>
      <w:b/>
      <w:bCs/>
      <w:color w:val="1F7A5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83B56"/>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w:hAnsi="Aptos"/>
      <w:b w:val="0"/>
      <w:i/>
      <w:iCs/>
      <w:color w:val="5F6F7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Compact">
    <w:name w:val="Body Compact"/>
    <w:basedOn w:val="Normal"/>
    <w:pPr>
      <w:spacing w:after="60" w:line="264" w:lineRule="auto"/>
    </w:pPr>
    <w:rPr>
      <w:rFonts w:ascii="Aptos" w:hAnsi="Aptos"/>
      <w:sz w:val="18"/>
    </w:rPr>
  </w:style>
  <w:style w:type="paragraph" w:customStyle="1" w:styleId="TableText">
    <w:name w:val="Table Text"/>
    <w:basedOn w:val="Normal"/>
    <w:pPr>
      <w:spacing w:after="0" w:line="252" w:lineRule="auto"/>
    </w:pPr>
    <w:rPr>
      <w:rFonts w:ascii="Aptos" w:hAnsi="Aptos"/>
      <w:sz w:val="16"/>
    </w:rPr>
  </w:style>
  <w:style w:type="paragraph" w:customStyle="1" w:styleId="CodeBlock">
    <w:name w:val="Code Block"/>
    <w:basedOn w:val="Normal"/>
    <w:pPr>
      <w:spacing w:before="40" w:after="100" w:line="240" w:lineRule="auto"/>
      <w:ind w:left="198" w:right="198"/>
      <w:shd w:fill="EEF3F6"/>
    </w:pPr>
    <w:rPr>
      <w:rFonts w:ascii="Consolas" w:hAnsi="Consolas"/>
      <w:color w:val="183B5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d’installation MedCareSO pour un cabinet</dc:title>
  <dc:subject>Installation réseau PostgreSQL, clients, licence, QR et sauvegardes</dc:subject>
  <dc:creator>MedCareSO</dc:creator>
  <cp:keywords>MedCareSO, installation, cabinet, PostgreSQL, réseau, QR, sauvegarde</cp:keywords>
  <dc:description>generated by python-docx</dc:description>
  <cp:lastModifiedBy/>
  <cp:revision>1</cp:revision>
  <dcterms:created xsi:type="dcterms:W3CDTF">2013-12-23T23:15:00Z</dcterms:created>
  <dcterms:modified xsi:type="dcterms:W3CDTF">2013-12-23T23:15:00Z</dcterms:modified>
  <cp:category/>
</cp:coreProperties>
</file>