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1AF6A11B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A54224">
        <w:rPr>
          <w:rFonts w:eastAsia="楷体_GB2312" w:hint="eastAsia"/>
          <w:b/>
          <w:bCs/>
          <w:sz w:val="36"/>
          <w:szCs w:val="36"/>
        </w:rPr>
        <w:t>11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77777777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52E38C13" w14:textId="77777777" w:rsidR="001741E8" w:rsidRPr="001741E8" w:rsidRDefault="001741E8" w:rsidP="001741E8">
      <w:pPr>
        <w:rPr>
          <w:sz w:val="24"/>
          <w:szCs w:val="28"/>
        </w:rPr>
      </w:pPr>
      <w:r w:rsidRPr="001741E8">
        <w:rPr>
          <w:rFonts w:hint="eastAsia"/>
          <w:sz w:val="24"/>
          <w:szCs w:val="28"/>
        </w:rPr>
        <w:lastRenderedPageBreak/>
        <w:t>1、请举例说明克隆模式的其他应用。</w:t>
      </w:r>
    </w:p>
    <w:p w14:paraId="6420112D" w14:textId="77777777" w:rsidR="00B82107" w:rsidRPr="001741E8" w:rsidRDefault="00B82107"/>
    <w:p w14:paraId="07CD8842" w14:textId="1DB89CD0" w:rsidR="001741E8" w:rsidRDefault="001741E8">
      <w:r w:rsidRPr="001741E8">
        <w:rPr>
          <w:b/>
          <w:bCs/>
        </w:rPr>
        <w:t>场景描述：</w:t>
      </w:r>
      <w:r w:rsidRPr="001741E8">
        <w:t xml:space="preserve"> 在游戏中，可能存在不同类型角色的基础模板（例如：战士、法师、弓箭手）。创建一个新角色可能涉及加载资源（模型、纹理）、设置基础属性、分配默认技能等，这些操作可能非常耗费资源。使用原型模式允许我们创建预先配置好的模板，并在需要生成新实例时快速克隆它们，之后可以对克隆体进行少量修改。</w:t>
      </w:r>
    </w:p>
    <w:p w14:paraId="236DAC57" w14:textId="4E735636" w:rsidR="001741E8" w:rsidRDefault="001741E8" w:rsidP="001741E8">
      <w:pPr>
        <w:jc w:val="center"/>
      </w:pPr>
      <w:r w:rsidRPr="001741E8">
        <w:drawing>
          <wp:inline distT="0" distB="0" distL="0" distR="0" wp14:anchorId="39BF37EC" wp14:editId="7A9660EF">
            <wp:extent cx="4350385" cy="4882529"/>
            <wp:effectExtent l="0" t="0" r="0" b="0"/>
            <wp:docPr id="1317319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9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173" cy="48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2516" w14:textId="77777777" w:rsidR="001741E8" w:rsidRDefault="001741E8">
      <w:pPr>
        <w:rPr>
          <w:rFonts w:hint="eastAsia"/>
        </w:rPr>
      </w:pPr>
    </w:p>
    <w:p w14:paraId="57EBD474" w14:textId="3E1C4E75" w:rsidR="001741E8" w:rsidRDefault="001741E8" w:rsidP="001741E8">
      <w:pPr>
        <w:jc w:val="center"/>
      </w:pPr>
      <w:r w:rsidRPr="001741E8">
        <w:lastRenderedPageBreak/>
        <w:drawing>
          <wp:inline distT="0" distB="0" distL="0" distR="0" wp14:anchorId="5EFAA6F5" wp14:editId="089AF225">
            <wp:extent cx="3999616" cy="4178746"/>
            <wp:effectExtent l="0" t="0" r="0" b="0"/>
            <wp:docPr id="1066059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752" cy="41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1B2" w14:textId="0997BD0F" w:rsidR="0057723C" w:rsidRDefault="0057723C" w:rsidP="001741E8">
      <w:pPr>
        <w:jc w:val="center"/>
        <w:rPr>
          <w:rFonts w:hint="eastAsia"/>
        </w:rPr>
      </w:pPr>
      <w:r w:rsidRPr="0057723C">
        <w:drawing>
          <wp:inline distT="0" distB="0" distL="0" distR="0" wp14:anchorId="1D3C8E11" wp14:editId="03E6DB62">
            <wp:extent cx="3931407" cy="4130675"/>
            <wp:effectExtent l="0" t="0" r="0" b="0"/>
            <wp:docPr id="1950046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6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743" cy="41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423E" w14:textId="77777777" w:rsidR="0057723C" w:rsidRDefault="0057723C"/>
    <w:p w14:paraId="6598F538" w14:textId="0320F1A6" w:rsidR="0057723C" w:rsidRDefault="0057723C">
      <w:r w:rsidRPr="0057723C">
        <w:lastRenderedPageBreak/>
        <w:drawing>
          <wp:inline distT="0" distB="0" distL="0" distR="0" wp14:anchorId="21E32401" wp14:editId="0CEA48B4">
            <wp:extent cx="5274310" cy="6222365"/>
            <wp:effectExtent l="0" t="0" r="0" b="0"/>
            <wp:docPr id="49927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30B9" w14:textId="77777777" w:rsidR="009D37AE" w:rsidRDefault="009D37AE"/>
    <w:p w14:paraId="64846438" w14:textId="77777777" w:rsidR="009D37AE" w:rsidRDefault="009D37AE"/>
    <w:p w14:paraId="5EE86531" w14:textId="77777777" w:rsidR="009D37AE" w:rsidRDefault="009D37AE"/>
    <w:p w14:paraId="66CE90F3" w14:textId="77777777" w:rsidR="009D37AE" w:rsidRDefault="009D37AE"/>
    <w:p w14:paraId="779BF164" w14:textId="77777777" w:rsidR="009D37AE" w:rsidRDefault="009D37AE"/>
    <w:p w14:paraId="73BDC769" w14:textId="77777777" w:rsidR="009D37AE" w:rsidRDefault="009D37AE"/>
    <w:p w14:paraId="2C7B9D39" w14:textId="77777777" w:rsidR="009D37AE" w:rsidRDefault="009D37AE"/>
    <w:p w14:paraId="6EB12851" w14:textId="77777777" w:rsidR="009D37AE" w:rsidRDefault="009D37AE"/>
    <w:p w14:paraId="396F78CB" w14:textId="77777777" w:rsidR="009D37AE" w:rsidRDefault="009D37AE"/>
    <w:p w14:paraId="4E56E1C8" w14:textId="77777777" w:rsidR="009D37AE" w:rsidRDefault="009D37AE"/>
    <w:p w14:paraId="5A75A993" w14:textId="77777777" w:rsidR="009D37AE" w:rsidRDefault="009D37AE"/>
    <w:p w14:paraId="210EF606" w14:textId="77777777" w:rsidR="009D37AE" w:rsidRDefault="009D37AE"/>
    <w:p w14:paraId="7F82AA2E" w14:textId="49DFA6B6" w:rsidR="009D37AE" w:rsidRPr="009D37AE" w:rsidRDefault="009D37AE">
      <w:pPr>
        <w:rPr>
          <w:rFonts w:hint="eastAsia"/>
          <w:sz w:val="28"/>
          <w:szCs w:val="32"/>
        </w:rPr>
      </w:pPr>
      <w:r w:rsidRPr="009D37AE">
        <w:rPr>
          <w:rFonts w:hint="eastAsia"/>
          <w:sz w:val="28"/>
          <w:szCs w:val="32"/>
          <w:highlight w:val="yellow"/>
        </w:rPr>
        <w:lastRenderedPageBreak/>
        <w:t>运行截图：</w:t>
      </w:r>
    </w:p>
    <w:p w14:paraId="45CD819E" w14:textId="585DA56E" w:rsidR="00E25799" w:rsidRDefault="001741E8">
      <w:r w:rsidRPr="001741E8">
        <w:drawing>
          <wp:inline distT="0" distB="0" distL="0" distR="0" wp14:anchorId="35CA492D" wp14:editId="4B388BDB">
            <wp:extent cx="5274310" cy="5994400"/>
            <wp:effectExtent l="0" t="0" r="0" b="0"/>
            <wp:docPr id="197830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06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4CB9" w14:textId="77777777" w:rsidR="00E25799" w:rsidRDefault="00E25799">
      <w:pPr>
        <w:widowControl/>
        <w:jc w:val="left"/>
      </w:pPr>
      <w:r>
        <w:br w:type="page"/>
      </w:r>
    </w:p>
    <w:p w14:paraId="20704FE5" w14:textId="7A9ED9C5" w:rsidR="00821099" w:rsidRPr="00821099" w:rsidRDefault="00821099" w:rsidP="00821099">
      <w:pPr>
        <w:rPr>
          <w:rFonts w:hint="eastAsia"/>
          <w:sz w:val="24"/>
          <w:szCs w:val="28"/>
        </w:rPr>
      </w:pPr>
      <w:r w:rsidRPr="00821099">
        <w:rPr>
          <w:rFonts w:hint="eastAsia"/>
          <w:sz w:val="24"/>
          <w:szCs w:val="28"/>
        </w:rPr>
        <w:lastRenderedPageBreak/>
        <w:t>2、试描述浅克隆和深克隆。</w:t>
      </w:r>
    </w:p>
    <w:tbl>
      <w:tblPr>
        <w:tblStyle w:val="OPExcelTableContent-3439"/>
        <w:tblW w:w="0" w:type="auto"/>
        <w:tblLook w:val="01E0" w:firstRow="1" w:lastRow="1" w:firstColumn="1" w:lastColumn="1" w:noHBand="0" w:noVBand="0"/>
      </w:tblPr>
      <w:tblGrid>
        <w:gridCol w:w="1642"/>
        <w:gridCol w:w="3432"/>
        <w:gridCol w:w="3448"/>
      </w:tblGrid>
      <w:tr w:rsidR="00821099" w:rsidRPr="00821099" w14:paraId="7E4CB0FD" w14:textId="77777777" w:rsidTr="0097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5D33F" w14:textId="4DF98A07" w:rsidR="00821099" w:rsidRPr="00821099" w:rsidRDefault="00821099" w:rsidP="00821099">
            <w:r w:rsidRPr="00821099">
              <w:rPr>
                <w:bCs/>
              </w:rPr>
              <w:t xml:space="preserve">特性 </w:t>
            </w:r>
          </w:p>
        </w:tc>
        <w:tc>
          <w:tcPr>
            <w:tcW w:w="0" w:type="auto"/>
            <w:hideMark/>
          </w:tcPr>
          <w:p w14:paraId="4D75D434" w14:textId="77777777" w:rsidR="00821099" w:rsidRPr="00821099" w:rsidRDefault="00821099" w:rsidP="00821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rPr>
                <w:bCs/>
              </w:rPr>
              <w:t>浅克隆 (Shallow Clone)</w:t>
            </w:r>
          </w:p>
        </w:tc>
        <w:tc>
          <w:tcPr>
            <w:tcW w:w="0" w:type="auto"/>
            <w:hideMark/>
          </w:tcPr>
          <w:p w14:paraId="3C5AB132" w14:textId="77777777" w:rsidR="00821099" w:rsidRPr="00821099" w:rsidRDefault="00821099" w:rsidP="00821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rPr>
                <w:bCs/>
              </w:rPr>
              <w:t>深克隆 (Deep Clone)</w:t>
            </w:r>
          </w:p>
        </w:tc>
      </w:tr>
      <w:tr w:rsidR="00821099" w:rsidRPr="00821099" w14:paraId="4CFDDA56" w14:textId="77777777" w:rsidTr="0097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ED457" w14:textId="77777777" w:rsidR="00821099" w:rsidRPr="00821099" w:rsidRDefault="00821099" w:rsidP="00821099">
            <w:r w:rsidRPr="00821099">
              <w:rPr>
                <w:bCs/>
              </w:rPr>
              <w:t>基本定义</w:t>
            </w:r>
          </w:p>
        </w:tc>
        <w:tc>
          <w:tcPr>
            <w:tcW w:w="0" w:type="auto"/>
            <w:hideMark/>
          </w:tcPr>
          <w:p w14:paraId="22950651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>创建一个新对象，然后将原始对象中的</w:t>
            </w:r>
            <w:r w:rsidRPr="00821099">
              <w:rPr>
                <w:b/>
                <w:bCs/>
              </w:rPr>
              <w:t>非静态字段的值</w:t>
            </w:r>
            <w:r w:rsidRPr="00821099">
              <w:t>复制到新对象。</w:t>
            </w:r>
          </w:p>
        </w:tc>
        <w:tc>
          <w:tcPr>
            <w:tcW w:w="0" w:type="auto"/>
            <w:hideMark/>
          </w:tcPr>
          <w:p w14:paraId="4A201CCE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>创建一个新对象，并将原始对象中的</w:t>
            </w:r>
            <w:r w:rsidRPr="00821099">
              <w:rPr>
                <w:b/>
                <w:bCs/>
              </w:rPr>
              <w:t>非静态字段的值</w:t>
            </w:r>
            <w:r w:rsidRPr="00821099">
              <w:t>复制到新对象。对于引用类型的字段，它会</w:t>
            </w:r>
            <w:r w:rsidRPr="00821099">
              <w:rPr>
                <w:b/>
                <w:bCs/>
              </w:rPr>
              <w:t>递归地</w:t>
            </w:r>
            <w:r w:rsidRPr="00821099">
              <w:t>复制这些字段所引用的对象。</w:t>
            </w:r>
          </w:p>
        </w:tc>
      </w:tr>
      <w:tr w:rsidR="00821099" w:rsidRPr="00821099" w14:paraId="34098204" w14:textId="77777777" w:rsidTr="0097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DE45E" w14:textId="77777777" w:rsidR="00821099" w:rsidRPr="00821099" w:rsidRDefault="00821099" w:rsidP="00821099">
            <w:r w:rsidRPr="00821099">
              <w:rPr>
                <w:bCs/>
              </w:rPr>
              <w:t>处理基本数据类型</w:t>
            </w:r>
            <w:r w:rsidRPr="00821099">
              <w:t xml:space="preserve"> (如 int, float, </w:t>
            </w:r>
            <w:proofErr w:type="spellStart"/>
            <w:r w:rsidRPr="00821099">
              <w:t>boolean</w:t>
            </w:r>
            <w:proofErr w:type="spellEnd"/>
            <w:r w:rsidRPr="00821099">
              <w:t>)</w:t>
            </w:r>
          </w:p>
        </w:tc>
        <w:tc>
          <w:tcPr>
            <w:tcW w:w="0" w:type="auto"/>
            <w:hideMark/>
          </w:tcPr>
          <w:p w14:paraId="471EBCCB" w14:textId="77777777" w:rsidR="00821099" w:rsidRPr="00821099" w:rsidRDefault="00821099" w:rsidP="0082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t>直接复制值。克隆对象和原始对象中的基本类型字段是</w:t>
            </w:r>
            <w:r w:rsidRPr="00821099">
              <w:rPr>
                <w:b/>
                <w:bCs/>
              </w:rPr>
              <w:t>完全独立</w:t>
            </w:r>
            <w:r w:rsidRPr="00821099">
              <w:t>的。</w:t>
            </w:r>
          </w:p>
        </w:tc>
        <w:tc>
          <w:tcPr>
            <w:tcW w:w="0" w:type="auto"/>
            <w:hideMark/>
          </w:tcPr>
          <w:p w14:paraId="013D9F00" w14:textId="77777777" w:rsidR="00821099" w:rsidRPr="00821099" w:rsidRDefault="00821099" w:rsidP="0082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t>直接复制值。克隆对象和原始对象中的基本类型字段也是</w:t>
            </w:r>
            <w:r w:rsidRPr="00821099">
              <w:rPr>
                <w:b/>
                <w:bCs/>
              </w:rPr>
              <w:t>完全独立</w:t>
            </w:r>
            <w:r w:rsidRPr="00821099">
              <w:t>的。</w:t>
            </w:r>
          </w:p>
        </w:tc>
      </w:tr>
      <w:tr w:rsidR="00821099" w:rsidRPr="00821099" w14:paraId="02F77B27" w14:textId="77777777" w:rsidTr="0097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DA413" w14:textId="77777777" w:rsidR="00821099" w:rsidRPr="00821099" w:rsidRDefault="00821099" w:rsidP="00821099">
            <w:r w:rsidRPr="00821099">
              <w:rPr>
                <w:bCs/>
              </w:rPr>
              <w:t>处理引用数据类型</w:t>
            </w:r>
            <w:r w:rsidRPr="00821099">
              <w:t xml:space="preserve"> (如 String, Object, List, 数组等)</w:t>
            </w:r>
          </w:p>
        </w:tc>
        <w:tc>
          <w:tcPr>
            <w:tcW w:w="0" w:type="auto"/>
            <w:hideMark/>
          </w:tcPr>
          <w:p w14:paraId="4B1C6353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>仅复制</w:t>
            </w:r>
            <w:r w:rsidRPr="00821099">
              <w:rPr>
                <w:b/>
                <w:bCs/>
              </w:rPr>
              <w:t>引用地址</w:t>
            </w:r>
            <w:r w:rsidRPr="00821099">
              <w:t>（内存地址）。这意味着克隆对象和原始对象中的引用类型字段将</w:t>
            </w:r>
            <w:r w:rsidRPr="00821099">
              <w:rPr>
                <w:b/>
                <w:bCs/>
              </w:rPr>
              <w:t>指向堆内存中同一个对象实例</w:t>
            </w:r>
            <w:r w:rsidRPr="00821099">
              <w:t>。</w:t>
            </w:r>
          </w:p>
        </w:tc>
        <w:tc>
          <w:tcPr>
            <w:tcW w:w="0" w:type="auto"/>
            <w:hideMark/>
          </w:tcPr>
          <w:p w14:paraId="1B1B5779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>创建并复制引用所指向的</w:t>
            </w:r>
            <w:r w:rsidRPr="00821099">
              <w:rPr>
                <w:b/>
                <w:bCs/>
              </w:rPr>
              <w:t>对象本身</w:t>
            </w:r>
            <w:r w:rsidRPr="00821099">
              <w:t>。这意味着克隆对象和原始对象中的引用类型字段将指向</w:t>
            </w:r>
            <w:r w:rsidRPr="00821099">
              <w:rPr>
                <w:b/>
                <w:bCs/>
              </w:rPr>
              <w:t>不同的、但内容相同</w:t>
            </w:r>
            <w:r w:rsidRPr="00821099">
              <w:t>的对象实例。</w:t>
            </w:r>
          </w:p>
        </w:tc>
      </w:tr>
      <w:tr w:rsidR="00821099" w:rsidRPr="00821099" w14:paraId="7F416853" w14:textId="77777777" w:rsidTr="0097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C3180" w14:textId="77777777" w:rsidR="00821099" w:rsidRPr="00821099" w:rsidRDefault="00821099" w:rsidP="00821099">
            <w:r w:rsidRPr="00821099">
              <w:rPr>
                <w:bCs/>
              </w:rPr>
              <w:t>对象独立性</w:t>
            </w:r>
          </w:p>
        </w:tc>
        <w:tc>
          <w:tcPr>
            <w:tcW w:w="0" w:type="auto"/>
            <w:hideMark/>
          </w:tcPr>
          <w:p w14:paraId="7F43ED64" w14:textId="77777777" w:rsidR="00821099" w:rsidRPr="00821099" w:rsidRDefault="00821099" w:rsidP="0082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rPr>
                <w:b/>
                <w:bCs/>
              </w:rPr>
              <w:t>不完全独立</w:t>
            </w:r>
            <w:r w:rsidRPr="00821099">
              <w:t>。如果修改原始对象或克隆对象中的</w:t>
            </w:r>
            <w:r w:rsidRPr="00821099">
              <w:rPr>
                <w:b/>
                <w:bCs/>
              </w:rPr>
              <w:t>引用类型成员变量所指向的对象内容</w:t>
            </w:r>
            <w:r w:rsidRPr="00821099">
              <w:t>，这种修改会同时反映在另一个对象上（因为它们共享同一个引用对象）。</w:t>
            </w:r>
          </w:p>
        </w:tc>
        <w:tc>
          <w:tcPr>
            <w:tcW w:w="0" w:type="auto"/>
            <w:hideMark/>
          </w:tcPr>
          <w:p w14:paraId="6BF709D7" w14:textId="77777777" w:rsidR="00821099" w:rsidRPr="00821099" w:rsidRDefault="00821099" w:rsidP="0082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rPr>
                <w:b/>
                <w:bCs/>
              </w:rPr>
              <w:t>完全独立</w:t>
            </w:r>
            <w:r w:rsidRPr="00821099">
              <w:t>。修改克隆对象的任何部分（包括其内部引用的对象）</w:t>
            </w:r>
            <w:r w:rsidRPr="00821099">
              <w:rPr>
                <w:b/>
                <w:bCs/>
              </w:rPr>
              <w:t>不会</w:t>
            </w:r>
            <w:r w:rsidRPr="00821099">
              <w:t>影响原始对象，反之亦然。</w:t>
            </w:r>
          </w:p>
        </w:tc>
      </w:tr>
      <w:tr w:rsidR="00821099" w:rsidRPr="00821099" w14:paraId="493D8FF8" w14:textId="77777777" w:rsidTr="0097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C35A9" w14:textId="77777777" w:rsidR="00821099" w:rsidRPr="00821099" w:rsidRDefault="00821099" w:rsidP="00821099">
            <w:r w:rsidRPr="00821099">
              <w:rPr>
                <w:bCs/>
              </w:rPr>
              <w:t>实现方式 (Java 示例)</w:t>
            </w:r>
          </w:p>
        </w:tc>
        <w:tc>
          <w:tcPr>
            <w:tcW w:w="0" w:type="auto"/>
            <w:hideMark/>
          </w:tcPr>
          <w:p w14:paraId="05B35177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 xml:space="preserve">通常只需调用 </w:t>
            </w:r>
            <w:proofErr w:type="spellStart"/>
            <w:r w:rsidRPr="00821099">
              <w:t>super.clone</w:t>
            </w:r>
            <w:proofErr w:type="spellEnd"/>
            <w:r w:rsidRPr="00821099">
              <w:t>() 方法即可（假设</w:t>
            </w:r>
            <w:proofErr w:type="gramStart"/>
            <w:r w:rsidRPr="00821099">
              <w:t>父类实现</w:t>
            </w:r>
            <w:proofErr w:type="gramEnd"/>
            <w:r w:rsidRPr="00821099">
              <w:t>了正确的浅克隆逻辑）。</w:t>
            </w:r>
          </w:p>
        </w:tc>
        <w:tc>
          <w:tcPr>
            <w:tcW w:w="0" w:type="auto"/>
            <w:hideMark/>
          </w:tcPr>
          <w:p w14:paraId="4B48F721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 xml:space="preserve">在调用 </w:t>
            </w:r>
            <w:proofErr w:type="spellStart"/>
            <w:r w:rsidRPr="00821099">
              <w:t>super.clone</w:t>
            </w:r>
            <w:proofErr w:type="spellEnd"/>
            <w:r w:rsidRPr="00821099">
              <w:t>() 获得浅克隆副本后，需要</w:t>
            </w:r>
            <w:r w:rsidRPr="00821099">
              <w:rPr>
                <w:b/>
                <w:bCs/>
              </w:rPr>
              <w:t>额外编写代码</w:t>
            </w:r>
            <w:r w:rsidRPr="00821099">
              <w:t>，为所有</w:t>
            </w:r>
            <w:r w:rsidRPr="00821099">
              <w:rPr>
                <w:b/>
                <w:bCs/>
              </w:rPr>
              <w:t>可变的引用类型</w:t>
            </w:r>
            <w:r w:rsidRPr="00821099">
              <w:t>成员变量</w:t>
            </w:r>
            <w:r w:rsidRPr="00821099">
              <w:rPr>
                <w:b/>
                <w:bCs/>
              </w:rPr>
              <w:t xml:space="preserve">也调用它们的 </w:t>
            </w:r>
            <w:r w:rsidRPr="00821099">
              <w:t>clone()</w:t>
            </w:r>
            <w:r w:rsidRPr="00821099">
              <w:rPr>
                <w:b/>
                <w:bCs/>
              </w:rPr>
              <w:t xml:space="preserve"> 方法</w:t>
            </w:r>
            <w:r w:rsidRPr="00821099">
              <w:t>（或其他复制方法），以实现递归复制。</w:t>
            </w:r>
          </w:p>
        </w:tc>
      </w:tr>
      <w:tr w:rsidR="00821099" w:rsidRPr="00821099" w14:paraId="79F550CA" w14:textId="77777777" w:rsidTr="0097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8F4E9" w14:textId="77777777" w:rsidR="00821099" w:rsidRPr="00821099" w:rsidRDefault="00821099" w:rsidP="00821099">
            <w:r w:rsidRPr="00821099">
              <w:rPr>
                <w:bCs/>
              </w:rPr>
              <w:t>性能开销</w:t>
            </w:r>
          </w:p>
        </w:tc>
        <w:tc>
          <w:tcPr>
            <w:tcW w:w="0" w:type="auto"/>
            <w:hideMark/>
          </w:tcPr>
          <w:p w14:paraId="0D6863FE" w14:textId="77777777" w:rsidR="00821099" w:rsidRPr="00821099" w:rsidRDefault="00821099" w:rsidP="0082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t>较低，速度较快，因为只复制引用地址，不复制引用对象本身。</w:t>
            </w:r>
          </w:p>
        </w:tc>
        <w:tc>
          <w:tcPr>
            <w:tcW w:w="0" w:type="auto"/>
            <w:hideMark/>
          </w:tcPr>
          <w:p w14:paraId="78D0B67A" w14:textId="77777777" w:rsidR="00821099" w:rsidRPr="00821099" w:rsidRDefault="00821099" w:rsidP="0082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099">
              <w:t>较高，速度较慢，因为需要递归地创建和复制所有引用的对象。</w:t>
            </w:r>
          </w:p>
        </w:tc>
      </w:tr>
      <w:tr w:rsidR="00821099" w:rsidRPr="00821099" w14:paraId="010BAD2F" w14:textId="77777777" w:rsidTr="0097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959EE" w14:textId="77777777" w:rsidR="00821099" w:rsidRPr="00821099" w:rsidRDefault="00821099" w:rsidP="00821099">
            <w:r w:rsidRPr="00821099">
              <w:rPr>
                <w:bCs/>
              </w:rPr>
              <w:t>适用场景</w:t>
            </w:r>
          </w:p>
        </w:tc>
        <w:tc>
          <w:tcPr>
            <w:tcW w:w="0" w:type="auto"/>
            <w:hideMark/>
          </w:tcPr>
          <w:p w14:paraId="746BE5BC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>当对象只包含基本类型和不可变类型（如 String）时，或者明确希望共享引用对象状态时。</w:t>
            </w:r>
          </w:p>
        </w:tc>
        <w:tc>
          <w:tcPr>
            <w:tcW w:w="0" w:type="auto"/>
            <w:hideMark/>
          </w:tcPr>
          <w:p w14:paraId="6A595B2D" w14:textId="77777777" w:rsidR="00821099" w:rsidRPr="00821099" w:rsidRDefault="00821099" w:rsidP="0082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099">
              <w:t>当需要一个完全独立的对象副本，不希望原始对象和克隆对象之间存在任何共享状态（尤其是可变状态）时。</w:t>
            </w:r>
          </w:p>
        </w:tc>
      </w:tr>
      <w:tr w:rsidR="00821099" w:rsidRPr="00821099" w14:paraId="3D17369E" w14:textId="77777777" w:rsidTr="009745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FA3C4" w14:textId="77777777" w:rsidR="00821099" w:rsidRPr="00821099" w:rsidRDefault="00821099" w:rsidP="00821099">
            <w:r w:rsidRPr="00821099">
              <w:rPr>
                <w:bCs/>
              </w:rPr>
              <w:t>潜在问题</w:t>
            </w:r>
          </w:p>
        </w:tc>
        <w:tc>
          <w:tcPr>
            <w:tcW w:w="0" w:type="auto"/>
            <w:hideMark/>
          </w:tcPr>
          <w:p w14:paraId="653A58D0" w14:textId="77777777" w:rsidR="00821099" w:rsidRPr="00821099" w:rsidRDefault="00821099" w:rsidP="0082109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821099">
              <w:t>容易因共享可变引用对象而引发意外的副作用和 bug。</w:t>
            </w:r>
          </w:p>
        </w:tc>
        <w:tc>
          <w:tcPr>
            <w:tcW w:w="0" w:type="auto"/>
            <w:hideMark/>
          </w:tcPr>
          <w:p w14:paraId="0A6E1B3A" w14:textId="77777777" w:rsidR="00821099" w:rsidRPr="00821099" w:rsidRDefault="00821099" w:rsidP="0082109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821099">
              <w:t>实现相对复杂，需要仔细处理对象图中的所有引用关系，可能需要处理循环引用问题。</w:t>
            </w:r>
          </w:p>
        </w:tc>
      </w:tr>
    </w:tbl>
    <w:p w14:paraId="3E972E3B" w14:textId="77777777" w:rsidR="00821099" w:rsidRPr="00821099" w:rsidRDefault="00821099" w:rsidP="00821099">
      <w:r w:rsidRPr="00821099">
        <w:rPr>
          <w:b/>
          <w:bCs/>
        </w:rPr>
        <w:t>总结来说：</w:t>
      </w:r>
    </w:p>
    <w:p w14:paraId="48D55750" w14:textId="77777777" w:rsidR="00821099" w:rsidRPr="00821099" w:rsidRDefault="00821099" w:rsidP="00821099">
      <w:pPr>
        <w:numPr>
          <w:ilvl w:val="0"/>
          <w:numId w:val="1"/>
        </w:numPr>
      </w:pPr>
      <w:r w:rsidRPr="00821099">
        <w:rPr>
          <w:b/>
          <w:bCs/>
        </w:rPr>
        <w:t>浅克隆</w:t>
      </w:r>
      <w:r w:rsidRPr="00821099">
        <w:t>：只复制一层，对象内的引用变量还是指向原来的内存地址。像“复制了房子的地址，没复制房子本身”。</w:t>
      </w:r>
    </w:p>
    <w:p w14:paraId="3B8375A6" w14:textId="77777777" w:rsidR="00821099" w:rsidRPr="00821099" w:rsidRDefault="00821099" w:rsidP="00821099">
      <w:pPr>
        <w:numPr>
          <w:ilvl w:val="0"/>
          <w:numId w:val="1"/>
        </w:numPr>
      </w:pPr>
      <w:r w:rsidRPr="00821099">
        <w:rPr>
          <w:b/>
          <w:bCs/>
        </w:rPr>
        <w:t>深克隆</w:t>
      </w:r>
      <w:r w:rsidRPr="00821099">
        <w:t>：层层复制，直到所有引用的对象都被复制了一份新的。像“不仅复制了房子的地址，连房子本身和里面的家具都复制了一套全新的”。</w:t>
      </w:r>
    </w:p>
    <w:p w14:paraId="1D89F6A4" w14:textId="77777777" w:rsidR="00821099" w:rsidRPr="00821099" w:rsidRDefault="00821099">
      <w:pPr>
        <w:rPr>
          <w:rFonts w:hint="eastAsia"/>
        </w:rPr>
      </w:pPr>
    </w:p>
    <w:sectPr w:rsidR="00821099" w:rsidRPr="0082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B5309" w14:textId="77777777" w:rsidR="00D32BFB" w:rsidRDefault="00D32BFB" w:rsidP="00504550">
      <w:r>
        <w:separator/>
      </w:r>
    </w:p>
  </w:endnote>
  <w:endnote w:type="continuationSeparator" w:id="0">
    <w:p w14:paraId="54C08420" w14:textId="77777777" w:rsidR="00D32BFB" w:rsidRDefault="00D32BFB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C2087" w14:textId="77777777" w:rsidR="00D32BFB" w:rsidRDefault="00D32BFB" w:rsidP="00504550">
      <w:r>
        <w:separator/>
      </w:r>
    </w:p>
  </w:footnote>
  <w:footnote w:type="continuationSeparator" w:id="0">
    <w:p w14:paraId="2588D03E" w14:textId="77777777" w:rsidR="00D32BFB" w:rsidRDefault="00D32BFB" w:rsidP="0050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F48CF"/>
    <w:multiLevelType w:val="multilevel"/>
    <w:tmpl w:val="D0B8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0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1741E8"/>
    <w:rsid w:val="002B430A"/>
    <w:rsid w:val="00360565"/>
    <w:rsid w:val="003F529B"/>
    <w:rsid w:val="00404E7A"/>
    <w:rsid w:val="00504550"/>
    <w:rsid w:val="0057723C"/>
    <w:rsid w:val="00821099"/>
    <w:rsid w:val="0084637F"/>
    <w:rsid w:val="00970DE8"/>
    <w:rsid w:val="00974549"/>
    <w:rsid w:val="009D37AE"/>
    <w:rsid w:val="00A54224"/>
    <w:rsid w:val="00B82107"/>
    <w:rsid w:val="00CC1A35"/>
    <w:rsid w:val="00D32BFB"/>
    <w:rsid w:val="00E2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10CA5D9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  <w:style w:type="table" w:customStyle="1" w:styleId="OPExcelTableContent-3439">
    <w:name w:val="OP_ExcelTableContent-3439"/>
    <w:basedOn w:val="a1"/>
    <w:rsid w:val="00974549"/>
    <w:rPr>
      <w:color w:val="000000"/>
    </w:rPr>
    <w:tblPr>
      <w:tblStyleRowBandSize w:val="1"/>
      <w:tblBorders>
        <w:top w:val="single" w:sz="4" w:space="0" w:color="B9D7EA"/>
        <w:bottom w:val="single" w:sz="4" w:space="0" w:color="B9D7EA"/>
        <w:insideH w:val="dotted" w:sz="4" w:space="0" w:color="DDDDDD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B9D7EA"/>
      </w:tcPr>
    </w:tblStylePr>
    <w:tblStylePr w:type="lastRow">
      <w:tblPr/>
      <w:tcPr>
        <w:tcBorders>
          <w:top w:val="single" w:sz="4" w:space="0" w:color="B9D7EA"/>
          <w:left w:val="nil"/>
          <w:bottom w:val="single" w:sz="4" w:space="0" w:color="B9D7EA"/>
          <w:insideV w:val="nil"/>
        </w:tcBorders>
        <w:shd w:val="clear" w:color="auto" w:fill="B9D7EA"/>
      </w:tcPr>
    </w:tblStylePr>
    <w:tblStylePr w:type="firstCol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D6E6F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7FBF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520</Words>
  <Characters>803</Characters>
  <Application>Microsoft Office Word</Application>
  <DocSecurity>0</DocSecurity>
  <Lines>401</Lines>
  <Paragraphs>132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8</cp:revision>
  <dcterms:created xsi:type="dcterms:W3CDTF">2025-04-20T06:56:00Z</dcterms:created>
  <dcterms:modified xsi:type="dcterms:W3CDTF">2025-04-20T08:10:00Z</dcterms:modified>
</cp:coreProperties>
</file>