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CENG 4130 — Plant Design and Economics</w:t>
        <w:br/>
        <w:t>Final Examination, Paper B (Spring 2025/2026)</w:t>
        <w:br/>
        <w:t>Worked Solutions</w:t>
      </w:r>
    </w:p>
    <w:p>
      <w:pPr>
        <w:jc w:val="center"/>
      </w:pPr>
      <w:r>
        <w:rPr>
          <w:i/>
        </w:rPr>
        <w:t>Student ID: 20987955    |    Development cost X = USD 20,987,955</w:t>
      </w:r>
    </w:p>
    <w:p>
      <w:pPr>
        <w:pStyle w:val="Heading1"/>
      </w:pPr>
      <w:r>
        <w:rPr>
          <w:color w:val="1F3A68"/>
        </w:rPr>
        <w:t>Question 1 — VacuumBot Project Economics</w:t>
      </w:r>
    </w:p>
    <w:p>
      <w:pPr>
        <w:pStyle w:val="Heading2"/>
      </w:pPr>
      <w:r>
        <w:rPr>
          <w:color w:val="1F3A68"/>
        </w:rPr>
        <w:t>1.0  Basis and assumptions</w:t>
      </w:r>
    </w:p>
    <w:p>
      <w:pPr>
        <w:pStyle w:val="ListBullet"/>
      </w:pPr>
      <w:r>
        <w:t>Year 0 captures all pre-operational outlays (1-year development period plus equipment purchase and working capital injection at start-up). Operations and sales span Years 1–5.</w:t>
      </w:r>
    </w:p>
    <w:p>
      <w:pPr>
        <w:pStyle w:val="ListBullet"/>
      </w:pPr>
      <w:r>
        <w:t>Annual sales volume, selling price, fixed and variable operating costs, and advertising budget are constant over the 5-year operating life.</w:t>
      </w:r>
    </w:p>
    <w:p>
      <w:pPr>
        <w:pStyle w:val="ListBullet"/>
      </w:pPr>
      <w:r>
        <w:t>Depreciation: 5-year property class MACRS half-year convention with rates 20.00 / 32.00 / 19.20 / 11.52 / 11.52 / 5.76 %. The project is terminated at the end of Year 5, so the un-recovered 5.76 % of the equipment basis (USD 2,304,000) is treated as a book loss on disposal (salvage = 0) and generates a one-off tax shield in Year 5.</w:t>
      </w:r>
    </w:p>
    <w:p>
      <w:pPr>
        <w:pStyle w:val="ListBullet"/>
      </w:pPr>
      <w:r>
        <w:t>Development cost X is treated as a non-depreciable, non-deductible pre-operating outlay (capitalised). Treating it as a Year-0 tax-deductible expense would only improve NPV and IRR; the assumption taken is conservative.</w:t>
      </w:r>
    </w:p>
    <w:p>
      <w:pPr>
        <w:pStyle w:val="ListBullet"/>
      </w:pPr>
      <w:r>
        <w:t>Profits tax rate = 15 % (Hong Kong two-tier upper rate). Discount rate = 20 % per annum, end-of-year cash-flow convention.</w:t>
      </w:r>
    </w:p>
    <w:p>
      <w:pPr>
        <w:pStyle w:val="ListBullet"/>
      </w:pPr>
      <w:r>
        <w:t>Working capital of USD 20 M is fully recovered at the end of Year 5.</w:t>
      </w:r>
    </w:p>
    <w:p>
      <w:pPr>
        <w:pStyle w:val="Heading2"/>
      </w:pPr>
      <w:r>
        <w:rPr>
          <w:color w:val="1F3A68"/>
        </w:rPr>
        <w:t>1.1  Annual revenue and operating cost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Item</w:t>
            </w:r>
          </w:p>
        </w:tc>
        <w:tc>
          <w:tcPr>
            <w:tcW w:type="dxa" w:w="3324"/>
          </w:tcPr>
          <w:p>
            <w:r>
              <w:t>Calculation</w:t>
            </w:r>
          </w:p>
        </w:tc>
        <w:tc>
          <w:tcPr>
            <w:tcW w:type="dxa" w:w="3324"/>
          </w:tcPr>
          <w:p>
            <w:r>
              <w:t>Value (USD/yr)</w:t>
            </w:r>
          </w:p>
        </w:tc>
      </w:tr>
      <w:tr>
        <w:tc>
          <w:tcPr>
            <w:tcW w:type="dxa" w:w="3324"/>
          </w:tcPr>
          <w:p>
            <w:r>
              <w:t>Revenue</w:t>
            </w:r>
          </w:p>
        </w:tc>
        <w:tc>
          <w:tcPr>
            <w:tcW w:type="dxa" w:w="3324"/>
          </w:tcPr>
          <w:p>
            <w:r>
              <w:t>500,000 units × USD 250 / unit</w:t>
            </w:r>
          </w:p>
        </w:tc>
        <w:tc>
          <w:tcPr>
            <w:tcW w:type="dxa" w:w="3324"/>
          </w:tcPr>
          <w:p>
            <w:r>
              <w:t>125,000,000</w:t>
            </w:r>
          </w:p>
        </w:tc>
      </w:tr>
      <w:tr>
        <w:tc>
          <w:tcPr>
            <w:tcW w:type="dxa" w:w="3324"/>
          </w:tcPr>
          <w:p>
            <w:r>
              <w:t>Variable cost</w:t>
            </w:r>
          </w:p>
        </w:tc>
        <w:tc>
          <w:tcPr>
            <w:tcW w:type="dxa" w:w="3324"/>
          </w:tcPr>
          <w:p>
            <w:r>
              <w:t>500,000 × USD 90</w:t>
            </w:r>
          </w:p>
        </w:tc>
        <w:tc>
          <w:tcPr>
            <w:tcW w:type="dxa" w:w="3324"/>
          </w:tcPr>
          <w:p>
            <w:r>
              <w:t>45,000,000</w:t>
            </w:r>
          </w:p>
        </w:tc>
      </w:tr>
      <w:tr>
        <w:tc>
          <w:tcPr>
            <w:tcW w:type="dxa" w:w="3324"/>
          </w:tcPr>
          <w:p>
            <w:r>
              <w:t>Fixed operating cost</w:t>
            </w:r>
          </w:p>
        </w:tc>
        <w:tc>
          <w:tcPr>
            <w:tcW w:type="dxa" w:w="3324"/>
          </w:tcPr>
          <w:p>
            <w:r>
              <w:t>given</w:t>
            </w:r>
          </w:p>
        </w:tc>
        <w:tc>
          <w:tcPr>
            <w:tcW w:type="dxa" w:w="3324"/>
          </w:tcPr>
          <w:p>
            <w:r>
              <w:t>35,000,000</w:t>
            </w:r>
          </w:p>
        </w:tc>
      </w:tr>
      <w:tr>
        <w:tc>
          <w:tcPr>
            <w:tcW w:type="dxa" w:w="3324"/>
          </w:tcPr>
          <w:p>
            <w:r>
              <w:t>Advertising</w:t>
            </w:r>
          </w:p>
        </w:tc>
        <w:tc>
          <w:tcPr>
            <w:tcW w:type="dxa" w:w="3324"/>
          </w:tcPr>
          <w:p>
            <w:r>
              <w:t>given</w:t>
            </w:r>
          </w:p>
        </w:tc>
        <w:tc>
          <w:tcPr>
            <w:tcW w:type="dxa" w:w="3324"/>
          </w:tcPr>
          <w:p>
            <w:r>
              <w:t>8,000,000</w:t>
            </w:r>
          </w:p>
        </w:tc>
      </w:tr>
      <w:tr>
        <w:tc>
          <w:tcPr>
            <w:tcW w:type="dxa" w:w="3324"/>
          </w:tcPr>
          <w:p>
            <w:r>
              <w:t>Total operating cost</w:t>
            </w:r>
          </w:p>
        </w:tc>
        <w:tc>
          <w:tcPr>
            <w:tcW w:type="dxa" w:w="3324"/>
          </w:tcPr>
          <w:p>
            <w:r>
              <w:t>45 + 35 + 8</w:t>
            </w:r>
          </w:p>
        </w:tc>
        <w:tc>
          <w:tcPr>
            <w:tcW w:type="dxa" w:w="3324"/>
          </w:tcPr>
          <w:p>
            <w:r>
              <w:t>88,000,000</w:t>
            </w:r>
          </w:p>
        </w:tc>
      </w:tr>
      <w:tr>
        <w:tc>
          <w:tcPr>
            <w:tcW w:type="dxa" w:w="3324"/>
          </w:tcPr>
          <w:p>
            <w:r>
              <w:t>EBITDA (Revenue – OpCost)</w:t>
            </w:r>
          </w:p>
        </w:tc>
        <w:tc>
          <w:tcPr>
            <w:tcW w:type="dxa" w:w="3324"/>
          </w:tcPr>
          <w:p>
            <w:r>
              <w:t>125 – 88</w:t>
            </w:r>
          </w:p>
        </w:tc>
        <w:tc>
          <w:tcPr>
            <w:tcW w:type="dxa" w:w="3324"/>
          </w:tcPr>
          <w:p>
            <w:r>
              <w:t>37,000,000</w:t>
            </w:r>
          </w:p>
        </w:tc>
      </w:tr>
    </w:tbl>
    <w:p>
      <w:pPr>
        <w:pStyle w:val="Heading2"/>
      </w:pPr>
      <w:r>
        <w:rPr>
          <w:color w:val="1F3A68"/>
        </w:rPr>
        <w:t>1.2  Depreciation schedule (5-year MACRS on USD 40 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Year</w:t>
            </w:r>
          </w:p>
        </w:tc>
        <w:tc>
          <w:tcPr>
            <w:tcW w:type="dxa" w:w="2493"/>
          </w:tcPr>
          <w:p>
            <w:r>
              <w:t>MACRS rate</w:t>
            </w:r>
          </w:p>
        </w:tc>
        <w:tc>
          <w:tcPr>
            <w:tcW w:type="dxa" w:w="2493"/>
          </w:tcPr>
          <w:p>
            <w:r>
              <w:t>Depreciation (USD)</w:t>
            </w:r>
          </w:p>
        </w:tc>
        <w:tc>
          <w:tcPr>
            <w:tcW w:type="dxa" w:w="2493"/>
          </w:tcPr>
          <w:p>
            <w:r>
              <w:t>Book value EoY (USD)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20.00 %</w:t>
            </w:r>
          </w:p>
        </w:tc>
        <w:tc>
          <w:tcPr>
            <w:tcW w:type="dxa" w:w="2493"/>
          </w:tcPr>
          <w:p>
            <w:r>
              <w:t>8,000,000</w:t>
            </w:r>
          </w:p>
        </w:tc>
        <w:tc>
          <w:tcPr>
            <w:tcW w:type="dxa" w:w="2493"/>
          </w:tcPr>
          <w:p>
            <w:r>
              <w:t>32,000,000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32.00 %</w:t>
            </w:r>
          </w:p>
        </w:tc>
        <w:tc>
          <w:tcPr>
            <w:tcW w:type="dxa" w:w="2493"/>
          </w:tcPr>
          <w:p>
            <w:r>
              <w:t>12,800,000</w:t>
            </w:r>
          </w:p>
        </w:tc>
        <w:tc>
          <w:tcPr>
            <w:tcW w:type="dxa" w:w="2493"/>
          </w:tcPr>
          <w:p>
            <w:r>
              <w:t>19,200,000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19.20 %</w:t>
            </w:r>
          </w:p>
        </w:tc>
        <w:tc>
          <w:tcPr>
            <w:tcW w:type="dxa" w:w="2493"/>
          </w:tcPr>
          <w:p>
            <w:r>
              <w:t>7,680,000</w:t>
            </w:r>
          </w:p>
        </w:tc>
        <w:tc>
          <w:tcPr>
            <w:tcW w:type="dxa" w:w="2493"/>
          </w:tcPr>
          <w:p>
            <w:r>
              <w:t>11,520,000</w:t>
            </w:r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11.52 %</w:t>
            </w:r>
          </w:p>
        </w:tc>
        <w:tc>
          <w:tcPr>
            <w:tcW w:type="dxa" w:w="2493"/>
          </w:tcPr>
          <w:p>
            <w:r>
              <w:t>4,608,000</w:t>
            </w:r>
          </w:p>
        </w:tc>
        <w:tc>
          <w:tcPr>
            <w:tcW w:type="dxa" w:w="2493"/>
          </w:tcPr>
          <w:p>
            <w:r>
              <w:t>6,912,000</w:t>
            </w:r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11.52 %</w:t>
            </w:r>
          </w:p>
        </w:tc>
        <w:tc>
          <w:tcPr>
            <w:tcW w:type="dxa" w:w="2493"/>
          </w:tcPr>
          <w:p>
            <w:r>
              <w:t>4,608,000</w:t>
            </w:r>
          </w:p>
        </w:tc>
        <w:tc>
          <w:tcPr>
            <w:tcW w:type="dxa" w:w="2493"/>
          </w:tcPr>
          <w:p>
            <w:r>
              <w:t>2,304,000</w:t>
            </w:r>
          </w:p>
        </w:tc>
      </w:tr>
    </w:tbl>
    <w:p>
      <w:r>
        <w:rPr>
          <w:b w:val="0"/>
          <w:i/>
          <w:sz w:val="22"/>
        </w:rPr>
        <w:t>Un-recovered book value of USD 2,304,000 at end of Year 5 is written off as a loss on disposal; tax shield = 0.15 × 2,304,000 = USD 345,600.</w:t>
      </w:r>
    </w:p>
    <w:p>
      <w:pPr>
        <w:pStyle w:val="Heading2"/>
      </w:pPr>
      <w:r>
        <w:rPr>
          <w:color w:val="1F3A68"/>
        </w:rPr>
        <w:t>1.3  After-tax cash-flow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t>Year</w:t>
            </w:r>
          </w:p>
        </w:tc>
        <w:tc>
          <w:tcPr>
            <w:tcW w:type="dxa" w:w="1425"/>
          </w:tcPr>
          <w:p>
            <w:r>
              <w:t>Revenue</w:t>
            </w:r>
          </w:p>
        </w:tc>
        <w:tc>
          <w:tcPr>
            <w:tcW w:type="dxa" w:w="1425"/>
          </w:tcPr>
          <w:p>
            <w:r>
              <w:t>OpCost</w:t>
            </w:r>
          </w:p>
        </w:tc>
        <w:tc>
          <w:tcPr>
            <w:tcW w:type="dxa" w:w="1425"/>
          </w:tcPr>
          <w:p>
            <w:r>
              <w:t>Depr.</w:t>
            </w:r>
          </w:p>
        </w:tc>
        <w:tc>
          <w:tcPr>
            <w:tcW w:type="dxa" w:w="1425"/>
          </w:tcPr>
          <w:p>
            <w:r>
              <w:t>EBT</w:t>
            </w:r>
          </w:p>
        </w:tc>
        <w:tc>
          <w:tcPr>
            <w:tcW w:type="dxa" w:w="1425"/>
          </w:tcPr>
          <w:p>
            <w:r>
              <w:t>Tax (15 %)</w:t>
            </w:r>
          </w:p>
        </w:tc>
        <w:tc>
          <w:tcPr>
            <w:tcW w:type="dxa" w:w="1425"/>
          </w:tcPr>
          <w:p>
            <w:r>
              <w:t>Net CF</w:t>
            </w:r>
          </w:p>
        </w:tc>
      </w:tr>
      <w:tr>
        <w:tc>
          <w:tcPr>
            <w:tcW w:type="dxa" w:w="1425"/>
          </w:tcPr>
          <w:p>
            <w:r>
              <w:t>0</w:t>
            </w:r>
          </w:p>
        </w:tc>
        <w:tc>
          <w:tcPr>
            <w:tcW w:type="dxa" w:w="1425"/>
          </w:tcPr>
          <w:p>
            <w:r>
              <w:t>—</w:t>
            </w:r>
          </w:p>
        </w:tc>
        <w:tc>
          <w:tcPr>
            <w:tcW w:type="dxa" w:w="1425"/>
          </w:tcPr>
          <w:p>
            <w:r>
              <w:t>—</w:t>
            </w:r>
          </w:p>
        </w:tc>
        <w:tc>
          <w:tcPr>
            <w:tcW w:type="dxa" w:w="1425"/>
          </w:tcPr>
          <w:p>
            <w:r>
              <w:t>—</w:t>
            </w:r>
          </w:p>
        </w:tc>
        <w:tc>
          <w:tcPr>
            <w:tcW w:type="dxa" w:w="1425"/>
          </w:tcPr>
          <w:p>
            <w:r>
              <w:t>—</w:t>
            </w:r>
          </w:p>
        </w:tc>
        <w:tc>
          <w:tcPr>
            <w:tcW w:type="dxa" w:w="1425"/>
          </w:tcPr>
          <w:p>
            <w:r>
              <w:t>—</w:t>
            </w:r>
          </w:p>
        </w:tc>
        <w:tc>
          <w:tcPr>
            <w:tcW w:type="dxa" w:w="1425"/>
          </w:tcPr>
          <w:p>
            <w:r>
              <w:t>(80,987,955)</w:t>
            </w:r>
          </w:p>
        </w:tc>
      </w:tr>
      <w:tr>
        <w:tc>
          <w:tcPr>
            <w:tcW w:type="dxa" w:w="1425"/>
          </w:tcPr>
          <w:p>
            <w:r>
              <w:t>1</w:t>
            </w:r>
          </w:p>
        </w:tc>
        <w:tc>
          <w:tcPr>
            <w:tcW w:type="dxa" w:w="1425"/>
          </w:tcPr>
          <w:p>
            <w:r>
              <w:t>125,000,000</w:t>
            </w:r>
          </w:p>
        </w:tc>
        <w:tc>
          <w:tcPr>
            <w:tcW w:type="dxa" w:w="1425"/>
          </w:tcPr>
          <w:p>
            <w:r>
              <w:t>88,000,000</w:t>
            </w:r>
          </w:p>
        </w:tc>
        <w:tc>
          <w:tcPr>
            <w:tcW w:type="dxa" w:w="1425"/>
          </w:tcPr>
          <w:p>
            <w:r>
              <w:t>8,000,000</w:t>
            </w:r>
          </w:p>
        </w:tc>
        <w:tc>
          <w:tcPr>
            <w:tcW w:type="dxa" w:w="1425"/>
          </w:tcPr>
          <w:p>
            <w:r>
              <w:t>29,000,000</w:t>
            </w:r>
          </w:p>
        </w:tc>
        <w:tc>
          <w:tcPr>
            <w:tcW w:type="dxa" w:w="1425"/>
          </w:tcPr>
          <w:p>
            <w:r>
              <w:t>4,350,000</w:t>
            </w:r>
          </w:p>
        </w:tc>
        <w:tc>
          <w:tcPr>
            <w:tcW w:type="dxa" w:w="1425"/>
          </w:tcPr>
          <w:p>
            <w:r>
              <w:t>32,650,000</w:t>
            </w:r>
          </w:p>
        </w:tc>
      </w:tr>
      <w:tr>
        <w:tc>
          <w:tcPr>
            <w:tcW w:type="dxa" w:w="1425"/>
          </w:tcPr>
          <w:p>
            <w:r>
              <w:t>2</w:t>
            </w:r>
          </w:p>
        </w:tc>
        <w:tc>
          <w:tcPr>
            <w:tcW w:type="dxa" w:w="1425"/>
          </w:tcPr>
          <w:p>
            <w:r>
              <w:t>125,000,000</w:t>
            </w:r>
          </w:p>
        </w:tc>
        <w:tc>
          <w:tcPr>
            <w:tcW w:type="dxa" w:w="1425"/>
          </w:tcPr>
          <w:p>
            <w:r>
              <w:t>88,000,000</w:t>
            </w:r>
          </w:p>
        </w:tc>
        <w:tc>
          <w:tcPr>
            <w:tcW w:type="dxa" w:w="1425"/>
          </w:tcPr>
          <w:p>
            <w:r>
              <w:t>12,800,000</w:t>
            </w:r>
          </w:p>
        </w:tc>
        <w:tc>
          <w:tcPr>
            <w:tcW w:type="dxa" w:w="1425"/>
          </w:tcPr>
          <w:p>
            <w:r>
              <w:t>24,200,000</w:t>
            </w:r>
          </w:p>
        </w:tc>
        <w:tc>
          <w:tcPr>
            <w:tcW w:type="dxa" w:w="1425"/>
          </w:tcPr>
          <w:p>
            <w:r>
              <w:t>3,630,000</w:t>
            </w:r>
          </w:p>
        </w:tc>
        <w:tc>
          <w:tcPr>
            <w:tcW w:type="dxa" w:w="1425"/>
          </w:tcPr>
          <w:p>
            <w:r>
              <w:t>33,370,000</w:t>
            </w:r>
          </w:p>
        </w:tc>
      </w:tr>
      <w:tr>
        <w:tc>
          <w:tcPr>
            <w:tcW w:type="dxa" w:w="1425"/>
          </w:tcPr>
          <w:p>
            <w:r>
              <w:t>3</w:t>
            </w:r>
          </w:p>
        </w:tc>
        <w:tc>
          <w:tcPr>
            <w:tcW w:type="dxa" w:w="1425"/>
          </w:tcPr>
          <w:p>
            <w:r>
              <w:t>125,000,000</w:t>
            </w:r>
          </w:p>
        </w:tc>
        <w:tc>
          <w:tcPr>
            <w:tcW w:type="dxa" w:w="1425"/>
          </w:tcPr>
          <w:p>
            <w:r>
              <w:t>88,000,000</w:t>
            </w:r>
          </w:p>
        </w:tc>
        <w:tc>
          <w:tcPr>
            <w:tcW w:type="dxa" w:w="1425"/>
          </w:tcPr>
          <w:p>
            <w:r>
              <w:t>7,680,000</w:t>
            </w:r>
          </w:p>
        </w:tc>
        <w:tc>
          <w:tcPr>
            <w:tcW w:type="dxa" w:w="1425"/>
          </w:tcPr>
          <w:p>
            <w:r>
              <w:t>29,320,000</w:t>
            </w:r>
          </w:p>
        </w:tc>
        <w:tc>
          <w:tcPr>
            <w:tcW w:type="dxa" w:w="1425"/>
          </w:tcPr>
          <w:p>
            <w:r>
              <w:t>4,398,000</w:t>
            </w:r>
          </w:p>
        </w:tc>
        <w:tc>
          <w:tcPr>
            <w:tcW w:type="dxa" w:w="1425"/>
          </w:tcPr>
          <w:p>
            <w:r>
              <w:t>32,602,000</w:t>
            </w:r>
          </w:p>
        </w:tc>
      </w:tr>
      <w:tr>
        <w:tc>
          <w:tcPr>
            <w:tcW w:type="dxa" w:w="1425"/>
          </w:tcPr>
          <w:p>
            <w:r>
              <w:t>4</w:t>
            </w:r>
          </w:p>
        </w:tc>
        <w:tc>
          <w:tcPr>
            <w:tcW w:type="dxa" w:w="1425"/>
          </w:tcPr>
          <w:p>
            <w:r>
              <w:t>125,000,000</w:t>
            </w:r>
          </w:p>
        </w:tc>
        <w:tc>
          <w:tcPr>
            <w:tcW w:type="dxa" w:w="1425"/>
          </w:tcPr>
          <w:p>
            <w:r>
              <w:t>88,000,000</w:t>
            </w:r>
          </w:p>
        </w:tc>
        <w:tc>
          <w:tcPr>
            <w:tcW w:type="dxa" w:w="1425"/>
          </w:tcPr>
          <w:p>
            <w:r>
              <w:t>4,608,000</w:t>
            </w:r>
          </w:p>
        </w:tc>
        <w:tc>
          <w:tcPr>
            <w:tcW w:type="dxa" w:w="1425"/>
          </w:tcPr>
          <w:p>
            <w:r>
              <w:t>32,392,000</w:t>
            </w:r>
          </w:p>
        </w:tc>
        <w:tc>
          <w:tcPr>
            <w:tcW w:type="dxa" w:w="1425"/>
          </w:tcPr>
          <w:p>
            <w:r>
              <w:t>4,858,800</w:t>
            </w:r>
          </w:p>
        </w:tc>
        <w:tc>
          <w:tcPr>
            <w:tcW w:type="dxa" w:w="1425"/>
          </w:tcPr>
          <w:p>
            <w:r>
              <w:t>32,141,200</w:t>
            </w:r>
          </w:p>
        </w:tc>
      </w:tr>
      <w:tr>
        <w:tc>
          <w:tcPr>
            <w:tcW w:type="dxa" w:w="1425"/>
          </w:tcPr>
          <w:p>
            <w:r>
              <w:t>5</w:t>
            </w:r>
          </w:p>
        </w:tc>
        <w:tc>
          <w:tcPr>
            <w:tcW w:type="dxa" w:w="1425"/>
          </w:tcPr>
          <w:p>
            <w:r>
              <w:t>125,000,000</w:t>
            </w:r>
          </w:p>
        </w:tc>
        <w:tc>
          <w:tcPr>
            <w:tcW w:type="dxa" w:w="1425"/>
          </w:tcPr>
          <w:p>
            <w:r>
              <w:t>88,000,000</w:t>
            </w:r>
          </w:p>
        </w:tc>
        <w:tc>
          <w:tcPr>
            <w:tcW w:type="dxa" w:w="1425"/>
          </w:tcPr>
          <w:p>
            <w:r>
              <w:t>4,608,000</w:t>
            </w:r>
          </w:p>
        </w:tc>
        <w:tc>
          <w:tcPr>
            <w:tcW w:type="dxa" w:w="1425"/>
          </w:tcPr>
          <w:p>
            <w:r>
              <w:t>32,392,000</w:t>
            </w:r>
          </w:p>
        </w:tc>
        <w:tc>
          <w:tcPr>
            <w:tcW w:type="dxa" w:w="1425"/>
          </w:tcPr>
          <w:p>
            <w:r>
              <w:t>4,858,800</w:t>
            </w:r>
          </w:p>
        </w:tc>
        <w:tc>
          <w:tcPr>
            <w:tcW w:type="dxa" w:w="1425"/>
          </w:tcPr>
          <w:p>
            <w:r>
              <w:t>52,486,800</w:t>
              <w:br/>
              <w:t>(+WC 20.0 M + tax shield 0.346 M)</w:t>
            </w:r>
          </w:p>
        </w:tc>
      </w:tr>
    </w:tbl>
    <w:p>
      <w:r>
        <w:rPr>
          <w:b w:val="0"/>
          <w:i/>
          <w:sz w:val="22"/>
        </w:rPr>
        <w:t>Year-0 outlay = X (20,987,955) + Equipment (40,000,000) + Working capital (20,000,000) = USD 80,987,955.</w:t>
      </w:r>
    </w:p>
    <w:p>
      <w:pPr>
        <w:pStyle w:val="Heading2"/>
      </w:pPr>
      <w:r>
        <w:rPr>
          <w:color w:val="1F3A68"/>
        </w:rPr>
        <w:t>1.4  (a) Project cash position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Year</w:t>
            </w:r>
          </w:p>
        </w:tc>
        <w:tc>
          <w:tcPr>
            <w:tcW w:type="dxa" w:w="3324"/>
          </w:tcPr>
          <w:p>
            <w:r>
              <w:t>Annual cash flow (USD)</w:t>
            </w:r>
          </w:p>
        </w:tc>
        <w:tc>
          <w:tcPr>
            <w:tcW w:type="dxa" w:w="3324"/>
          </w:tcPr>
          <w:p>
            <w:r>
              <w:t>Cumulative cash position (USD)</w:t>
            </w:r>
          </w:p>
        </w:tc>
      </w:tr>
      <w:tr>
        <w:tc>
          <w:tcPr>
            <w:tcW w:type="dxa" w:w="3324"/>
          </w:tcPr>
          <w:p>
            <w:r>
              <w:t>0</w:t>
            </w:r>
          </w:p>
        </w:tc>
        <w:tc>
          <w:tcPr>
            <w:tcW w:type="dxa" w:w="3324"/>
          </w:tcPr>
          <w:p>
            <w:r>
              <w:t>(80,987,955)</w:t>
            </w:r>
          </w:p>
        </w:tc>
        <w:tc>
          <w:tcPr>
            <w:tcW w:type="dxa" w:w="3324"/>
          </w:tcPr>
          <w:p>
            <w:r>
              <w:t>(80,987,955)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32,650,000</w:t>
            </w:r>
          </w:p>
        </w:tc>
        <w:tc>
          <w:tcPr>
            <w:tcW w:type="dxa" w:w="3324"/>
          </w:tcPr>
          <w:p>
            <w:r>
              <w:t>(48,337,955)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33,370,000</w:t>
            </w:r>
          </w:p>
        </w:tc>
        <w:tc>
          <w:tcPr>
            <w:tcW w:type="dxa" w:w="3324"/>
          </w:tcPr>
          <w:p>
            <w:r>
              <w:t>(14,967,955)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32,602,000</w:t>
            </w:r>
          </w:p>
        </w:tc>
        <w:tc>
          <w:tcPr>
            <w:tcW w:type="dxa" w:w="3324"/>
          </w:tcPr>
          <w:p>
            <w:r>
              <w:t>17,634,045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32,141,200</w:t>
            </w:r>
          </w:p>
        </w:tc>
        <w:tc>
          <w:tcPr>
            <w:tcW w:type="dxa" w:w="3324"/>
          </w:tcPr>
          <w:p>
            <w:r>
              <w:t>49,775,245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52,486,800</w:t>
            </w:r>
          </w:p>
        </w:tc>
        <w:tc>
          <w:tcPr>
            <w:tcW w:type="dxa" w:w="3324"/>
          </w:tcPr>
          <w:p>
            <w:r>
              <w:t>102,262,045</w:t>
            </w:r>
          </w:p>
        </w:tc>
      </w:tr>
    </w:tbl>
    <w:p>
      <w:r>
        <w:rPr>
          <w:b w:val="0"/>
          <w:i w:val="0"/>
          <w:sz w:val="22"/>
        </w:rPr>
        <w:t>The cumulative cash position turns positive between Year 2 and Year 3. Undiscounted simple payback period = 2.46 years.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h_posi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1. Cumulative project cash position (Year 0 to Year 5).</w:t>
      </w:r>
    </w:p>
    <w:p>
      <w:pPr>
        <w:pStyle w:val="Heading2"/>
      </w:pPr>
      <w:r>
        <w:rPr>
          <w:color w:val="1F3A68"/>
        </w:rPr>
        <w:t>1.5  (b) Net present worth at 20 %</w:t>
      </w:r>
    </w:p>
    <w:p>
      <w:r>
        <w:rPr>
          <w:b w:val="0"/>
          <w:i w:val="0"/>
          <w:sz w:val="22"/>
        </w:rPr>
        <w:t>Discounting each annual cash flow at i = 20 %: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Year</w:t>
            </w:r>
          </w:p>
        </w:tc>
        <w:tc>
          <w:tcPr>
            <w:tcW w:type="dxa" w:w="2493"/>
          </w:tcPr>
          <w:p>
            <w:r>
              <w:t>Cash flow (USD)</w:t>
            </w:r>
          </w:p>
        </w:tc>
        <w:tc>
          <w:tcPr>
            <w:tcW w:type="dxa" w:w="2493"/>
          </w:tcPr>
          <w:p>
            <w:r>
              <w:t>Discount factor (1.20)^-n</w:t>
            </w:r>
          </w:p>
        </w:tc>
        <w:tc>
          <w:tcPr>
            <w:tcW w:type="dxa" w:w="2493"/>
          </w:tcPr>
          <w:p>
            <w:r>
              <w:t>Present value (USD)</w:t>
            </w:r>
          </w:p>
        </w:tc>
      </w:tr>
      <w:tr>
        <w:tc>
          <w:tcPr>
            <w:tcW w:type="dxa" w:w="2493"/>
          </w:tcPr>
          <w:p>
            <w:r>
              <w:t>0</w:t>
            </w:r>
          </w:p>
        </w:tc>
        <w:tc>
          <w:tcPr>
            <w:tcW w:type="dxa" w:w="2493"/>
          </w:tcPr>
          <w:p>
            <w:r>
              <w:t>(80,987,955)</w:t>
            </w:r>
          </w:p>
        </w:tc>
        <w:tc>
          <w:tcPr>
            <w:tcW w:type="dxa" w:w="2493"/>
          </w:tcPr>
          <w:p>
            <w:r>
              <w:t>1.0000</w:t>
            </w:r>
          </w:p>
        </w:tc>
        <w:tc>
          <w:tcPr>
            <w:tcW w:type="dxa" w:w="2493"/>
          </w:tcPr>
          <w:p>
            <w:r>
              <w:t>(80,987,955)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32,650,000</w:t>
            </w:r>
          </w:p>
        </w:tc>
        <w:tc>
          <w:tcPr>
            <w:tcW w:type="dxa" w:w="2493"/>
          </w:tcPr>
          <w:p>
            <w:r>
              <w:t>0.8333</w:t>
            </w:r>
          </w:p>
        </w:tc>
        <w:tc>
          <w:tcPr>
            <w:tcW w:type="dxa" w:w="2493"/>
          </w:tcPr>
          <w:p>
            <w:r>
              <w:t>27,208,333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33,370,000</w:t>
            </w:r>
          </w:p>
        </w:tc>
        <w:tc>
          <w:tcPr>
            <w:tcW w:type="dxa" w:w="2493"/>
          </w:tcPr>
          <w:p>
            <w:r>
              <w:t>0.6944</w:t>
            </w:r>
          </w:p>
        </w:tc>
        <w:tc>
          <w:tcPr>
            <w:tcW w:type="dxa" w:w="2493"/>
          </w:tcPr>
          <w:p>
            <w:r>
              <w:t>23,173,611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32,602,000</w:t>
            </w:r>
          </w:p>
        </w:tc>
        <w:tc>
          <w:tcPr>
            <w:tcW w:type="dxa" w:w="2493"/>
          </w:tcPr>
          <w:p>
            <w:r>
              <w:t>0.5787</w:t>
            </w:r>
          </w:p>
        </w:tc>
        <w:tc>
          <w:tcPr>
            <w:tcW w:type="dxa" w:w="2493"/>
          </w:tcPr>
          <w:p>
            <w:r>
              <w:t>18,866,898</w:t>
            </w:r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32,141,200</w:t>
            </w:r>
          </w:p>
        </w:tc>
        <w:tc>
          <w:tcPr>
            <w:tcW w:type="dxa" w:w="2493"/>
          </w:tcPr>
          <w:p>
            <w:r>
              <w:t>0.4823</w:t>
            </w:r>
          </w:p>
        </w:tc>
        <w:tc>
          <w:tcPr>
            <w:tcW w:type="dxa" w:w="2493"/>
          </w:tcPr>
          <w:p>
            <w:r>
              <w:t>15,500,193</w:t>
            </w:r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52,486,800</w:t>
            </w:r>
          </w:p>
        </w:tc>
        <w:tc>
          <w:tcPr>
            <w:tcW w:type="dxa" w:w="2493"/>
          </w:tcPr>
          <w:p>
            <w:r>
              <w:t>0.4019</w:t>
            </w:r>
          </w:p>
        </w:tc>
        <w:tc>
          <w:tcPr>
            <w:tcW w:type="dxa" w:w="2493"/>
          </w:tcPr>
          <w:p>
            <w:r>
              <w:t>21,093,268</w:t>
            </w:r>
          </w:p>
        </w:tc>
      </w:tr>
      <w:tr>
        <w:tc>
          <w:tcPr>
            <w:tcW w:type="dxa" w:w="2493"/>
          </w:tcPr>
          <w:p>
            <w:r>
              <w:t>Σ NPV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24,854,348</w:t>
            </w:r>
          </w:p>
        </w:tc>
      </w:tr>
    </w:tbl>
    <w:p>
      <w:r>
        <w:rPr>
          <w:b/>
        </w:rPr>
        <w:t xml:space="preserve">NPV @ 20 % = +USD 24,854,348 (≈ +USD 24.9 million).  </w:t>
      </w:r>
      <w:r>
        <w:t>Because NPV &gt; 0 at the firm’s hurdle rate, the project creates value and should be undertaken.</w:t>
      </w:r>
    </w:p>
    <w:p>
      <w:pPr>
        <w:pStyle w:val="Heading2"/>
      </w:pPr>
      <w:r>
        <w:rPr>
          <w:color w:val="1F3A68"/>
        </w:rPr>
        <w:t>1.6  (c) Discounted cash-flow rate of return (DCFROR)</w:t>
      </w:r>
    </w:p>
    <w:p>
      <w:r>
        <w:rPr>
          <w:b w:val="0"/>
          <w:i w:val="0"/>
          <w:sz w:val="22"/>
        </w:rPr>
        <w:t>Solving Σ CFₙ / (1+i)ⁿ = 0 by iteration (bisection on i):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Trial discount rate</w:t>
            </w:r>
          </w:p>
        </w:tc>
        <w:tc>
          <w:tcPr>
            <w:tcW w:type="dxa" w:w="4986"/>
          </w:tcPr>
          <w:p>
            <w:r>
              <w:t>NPV (USD)</w:t>
            </w:r>
          </w:p>
        </w:tc>
      </w:tr>
      <w:tr>
        <w:tc>
          <w:tcPr>
            <w:tcW w:type="dxa" w:w="4986"/>
          </w:tcPr>
          <w:p>
            <w:r>
              <w:t>20.0 %</w:t>
            </w:r>
          </w:p>
        </w:tc>
        <w:tc>
          <w:tcPr>
            <w:tcW w:type="dxa" w:w="4986"/>
          </w:tcPr>
          <w:p>
            <w:r>
              <w:t>24,854,348</w:t>
            </w:r>
          </w:p>
        </w:tc>
      </w:tr>
      <w:tr>
        <w:tc>
          <w:tcPr>
            <w:tcW w:type="dxa" w:w="4986"/>
          </w:tcPr>
          <w:p>
            <w:r>
              <w:t>25.0 %</w:t>
            </w:r>
          </w:p>
        </w:tc>
        <w:tc>
          <w:tcPr>
            <w:tcW w:type="dxa" w:w="4986"/>
          </w:tcPr>
          <w:p>
            <w:r>
              <w:t>13,544,979</w:t>
            </w:r>
          </w:p>
        </w:tc>
      </w:tr>
      <w:tr>
        <w:tc>
          <w:tcPr>
            <w:tcW w:type="dxa" w:w="4986"/>
          </w:tcPr>
          <w:p>
            <w:r>
              <w:t>30.0 %</w:t>
            </w:r>
          </w:p>
        </w:tc>
        <w:tc>
          <w:tcPr>
            <w:tcW w:type="dxa" w:w="4986"/>
          </w:tcPr>
          <w:p>
            <w:r>
              <w:t>4,102,067</w:t>
            </w:r>
          </w:p>
        </w:tc>
      </w:tr>
      <w:tr>
        <w:tc>
          <w:tcPr>
            <w:tcW w:type="dxa" w:w="4986"/>
          </w:tcPr>
          <w:p>
            <w:r>
              <w:t>32.5 %</w:t>
            </w:r>
          </w:p>
        </w:tc>
        <w:tc>
          <w:tcPr>
            <w:tcW w:type="dxa" w:w="4986"/>
          </w:tcPr>
          <w:p>
            <w:r>
              <w:t>(43,916)</w:t>
            </w:r>
          </w:p>
        </w:tc>
      </w:tr>
      <w:tr>
        <w:tc>
          <w:tcPr>
            <w:tcW w:type="dxa" w:w="4986"/>
          </w:tcPr>
          <w:p>
            <w:r>
              <w:t>35.0 %</w:t>
            </w:r>
          </w:p>
        </w:tc>
        <w:tc>
          <w:tcPr>
            <w:tcW w:type="dxa" w:w="4986"/>
          </w:tcPr>
          <w:p>
            <w:r>
              <w:t>(3,859,971)</w:t>
            </w:r>
          </w:p>
        </w:tc>
      </w:tr>
    </w:tbl>
    <w:p>
      <w:r>
        <w:rPr>
          <w:b/>
        </w:rPr>
        <w:t xml:space="preserve">DCFROR ≈ 32.47%.  </w:t>
      </w:r>
      <w:r>
        <w:t>Since the DCFROR substantially exceeds the 20 % hurdle, the project is economically attractive.</w:t>
      </w:r>
    </w:p>
    <w:p>
      <w:pPr>
        <w:pStyle w:val="Heading2"/>
      </w:pPr>
      <w:r>
        <w:rPr>
          <w:color w:val="1F3A68"/>
        </w:rPr>
        <w:t>1.7  Robustness checks (subtleties verified)</w:t>
      </w:r>
    </w:p>
    <w:p>
      <w:pPr>
        <w:pStyle w:val="ListBullet"/>
      </w:pPr>
      <w:r>
        <w:rPr>
          <w:b/>
        </w:rPr>
        <w:t xml:space="preserve">MACRS disposal accounting: </w:t>
      </w:r>
      <w:r>
        <w:t>Textbook convention used: Y1–Y5 take full rates 20/32/19.20/11.52/11.52 % (Σ = 94.24 %) and the un-recovered 5.76 % becomes a disposal loss in Y5. Under the strict IRS half-year-of-disposal rule, Y5 depreciation would instead be 5.76 % and the disposal loss 11.52 %. In both treatments the Y5 total deductible amount is identical (5.76 % + 5.76 % = 11.52 % = USD 4.608 M), so Y5 tax = USD 4.514 M and Y5 cash flow = USD 52.487 M either way. NPV and IRR are therefore invariant to which MACRS-disposal convention is used.</w:t>
      </w:r>
    </w:p>
    <w:p>
      <w:pPr>
        <w:pStyle w:val="ListBullet"/>
      </w:pPr>
      <w:r>
        <w:rPr>
          <w:b/>
        </w:rPr>
        <w:t xml:space="preserve">Tax treatment of the development cost X: </w:t>
      </w:r>
      <w:r>
        <w:t>I capitalised X as a non-depreciable, non-deductible pre-operating outlay (conservative). If instead X is expensed in Year 0 against parent-company taxable income, an immediate tax shield of 0.15 × X = USD 3,148,193 is added to Y0. NPV(20 %) then rises to ≈ USD 28.0 M and DCFROR to ≈ 34.5 %.</w:t>
      </w:r>
    </w:p>
    <w:p>
      <w:pPr>
        <w:pStyle w:val="ListBullet"/>
      </w:pPr>
      <w:r>
        <w:rPr>
          <w:b/>
        </w:rPr>
        <w:t xml:space="preserve">Timing convention for pre-operating cash outlays: </w:t>
      </w:r>
      <w:r>
        <w:t>I lumped X, equipment and working capital at Year 0 (operations Y1–Y5) — the standard textbook treatment used in most plant-economics courses. Two alternatives were tested: (i) A pure 1-year time-shift of the whole cash-flow stream (entire profile pushed back by the development year). Mathematically this divides NPV by (1+r) but leaves the IRR root unchanged: NPV(20 %) ≈ USD 20.7 M, DCFROR ≈ 32.5 %. (ii) Separating the outlays — X at Y0, equipment + WC (USD 60 M) at Y1, operating cash flows at Y2–Y6 — which postpones the bulk of capex by one year but also postpones revenue: NPV(20 %) ≈ USD 17.2 M, DCFROR ≈ 28.9 %. In every case NPV is positive and DCFROR exceeds the 20 % hurdle, so the accept-the-project conclusion is robust to the timing assumption.</w:t>
      </w:r>
    </w:p>
    <w:p>
      <w:pPr>
        <w:pStyle w:val="ListBullet"/>
      </w:pPr>
      <w:r>
        <w:rPr>
          <w:b/>
        </w:rPr>
        <w:t xml:space="preserve">Production = sales: </w:t>
      </w:r>
      <w:r>
        <w:t>Variable cost is given per unit "produced". Assumed no inventory build-up, so production = sales = 500,000 units / yr.</w:t>
      </w:r>
    </w:p>
    <w:p>
      <w:pPr>
        <w:pStyle w:val="ListBullet"/>
      </w:pPr>
      <w:r>
        <w:rPr>
          <w:b/>
        </w:rPr>
        <w:t xml:space="preserve">Advertising deductibility: </w:t>
      </w:r>
      <w:r>
        <w:t>Treated as an annual tax-deductible operating expense (standard for HK profits tax).</w:t>
      </w:r>
    </w:p>
    <w:p>
      <w:pPr>
        <w:pStyle w:val="ListBullet"/>
      </w:pPr>
      <w:r>
        <w:rPr>
          <w:b/>
        </w:rPr>
        <w:t xml:space="preserve">Working capital: </w:t>
      </w:r>
      <w:r>
        <w:t>Single injection at start-up, fully recovered at end of Year 5 (no tax effect on recovery).</w:t>
      </w:r>
    </w:p>
    <w:p>
      <w:pPr>
        <w:pStyle w:val="ListBullet"/>
      </w:pPr>
      <w:r>
        <w:rPr>
          <w:b/>
        </w:rPr>
        <w:t xml:space="preserve">Discount-rate / convention: </w:t>
      </w:r>
      <w:r>
        <w:t>End-of-year cash flow convention at i = 20 % p.a., consistent with the discrete annual cash-flow table.</w:t>
      </w:r>
    </w:p>
    <w:p>
      <w:pPr>
        <w:pStyle w:val="Heading2"/>
      </w:pPr>
      <w:r>
        <w:rPr>
          <w:color w:val="1F3A68"/>
        </w:rPr>
        <w:t>1.8  Summary of Q1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Metric</w:t>
            </w:r>
          </w:p>
        </w:tc>
        <w:tc>
          <w:tcPr>
            <w:tcW w:type="dxa" w:w="4986"/>
          </w:tcPr>
          <w:p>
            <w:r>
              <w:t>Value</w:t>
            </w:r>
          </w:p>
        </w:tc>
      </w:tr>
      <w:tr>
        <w:tc>
          <w:tcPr>
            <w:tcW w:type="dxa" w:w="4986"/>
          </w:tcPr>
          <w:p>
            <w:r>
              <w:t>Total Year-0 outlay</w:t>
            </w:r>
          </w:p>
        </w:tc>
        <w:tc>
          <w:tcPr>
            <w:tcW w:type="dxa" w:w="4986"/>
          </w:tcPr>
          <w:p>
            <w:r>
              <w:t>USD 80,987,955</w:t>
            </w:r>
          </w:p>
        </w:tc>
      </w:tr>
      <w:tr>
        <w:tc>
          <w:tcPr>
            <w:tcW w:type="dxa" w:w="4986"/>
          </w:tcPr>
          <w:p>
            <w:r>
              <w:t>Annual EBITDA (Years 1–5)</w:t>
            </w:r>
          </w:p>
        </w:tc>
        <w:tc>
          <w:tcPr>
            <w:tcW w:type="dxa" w:w="4986"/>
          </w:tcPr>
          <w:p>
            <w:r>
              <w:t>USD 37,000,000</w:t>
            </w:r>
          </w:p>
        </w:tc>
      </w:tr>
      <w:tr>
        <w:tc>
          <w:tcPr>
            <w:tcW w:type="dxa" w:w="4986"/>
          </w:tcPr>
          <w:p>
            <w:r>
              <w:t>Simple payback (undiscounted)</w:t>
            </w:r>
          </w:p>
        </w:tc>
        <w:tc>
          <w:tcPr>
            <w:tcW w:type="dxa" w:w="4986"/>
          </w:tcPr>
          <w:p>
            <w:r>
              <w:t>2.46 yr</w:t>
            </w:r>
          </w:p>
        </w:tc>
      </w:tr>
      <w:tr>
        <w:tc>
          <w:tcPr>
            <w:tcW w:type="dxa" w:w="4986"/>
          </w:tcPr>
          <w:p>
            <w:r>
              <w:t>NPV at 20 %</w:t>
            </w:r>
          </w:p>
        </w:tc>
        <w:tc>
          <w:tcPr>
            <w:tcW w:type="dxa" w:w="4986"/>
          </w:tcPr>
          <w:p>
            <w:r>
              <w:t>+USD 24,854,348</w:t>
            </w:r>
          </w:p>
        </w:tc>
      </w:tr>
      <w:tr>
        <w:tc>
          <w:tcPr>
            <w:tcW w:type="dxa" w:w="4986"/>
          </w:tcPr>
          <w:p>
            <w:r>
              <w:t>DCFROR (IRR)</w:t>
            </w:r>
          </w:p>
        </w:tc>
        <w:tc>
          <w:tcPr>
            <w:tcW w:type="dxa" w:w="4986"/>
          </w:tcPr>
          <w:p>
            <w:r>
              <w:t>32.47 %</w:t>
            </w:r>
          </w:p>
        </w:tc>
      </w:tr>
      <w:tr>
        <w:tc>
          <w:tcPr>
            <w:tcW w:type="dxa" w:w="4986"/>
          </w:tcPr>
          <w:p>
            <w:r>
              <w:t>Recommendation</w:t>
            </w:r>
          </w:p>
        </w:tc>
        <w:tc>
          <w:tcPr>
            <w:tcW w:type="dxa" w:w="4986"/>
          </w:tcPr>
          <w:p>
            <w:r>
              <w:t>Proceed with the project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68"/>
        </w:rPr>
        <w:t>Question 2 — Towngas Residential Hydrogen Refilling Facility</w:t>
      </w:r>
    </w:p>
    <w:p>
      <w:r>
        <w:rPr>
          <w:i/>
        </w:rPr>
        <w:t>Role: Technical Lead, Towngas — H₂ extraction by PSA from existing town-gas mains, installed in a residential car-park bay (≈3 parking spaces ≈ 37.5 m² footprint).</w:t>
      </w:r>
    </w:p>
    <w:p>
      <w:pPr>
        <w:pStyle w:val="Heading2"/>
      </w:pPr>
      <w:r>
        <w:rPr>
          <w:color w:val="1F3A68"/>
        </w:rPr>
        <w:t>Part (a) — Economic Feasibility Evaluation (Board of Directors)</w:t>
      </w:r>
    </w:p>
    <w:p>
      <w:pPr>
        <w:pStyle w:val="Heading3"/>
      </w:pPr>
      <w:r>
        <w:rPr>
          <w:color w:val="1F3A68"/>
        </w:rPr>
        <w:t>A1. Process scope and design basis</w:t>
      </w:r>
    </w:p>
    <w:p>
      <w:pPr>
        <w:pStyle w:val="ListBullet"/>
      </w:pPr>
      <w:r>
        <w:t>Town gas composition (Towngas, naphtha-reformed): ≈49 vol% H₂, 28 % CH₄, 19 % CO₂, 3 % CO, balance N₂. Distribution pressure ≈ 75 mbarg, taken locally up to ≈ 8–10 barg by a feed booster.</w:t>
      </w:r>
    </w:p>
    <w:p>
      <w:pPr>
        <w:pStyle w:val="ListBullet"/>
      </w:pPr>
      <w:r>
        <w:t>PSA recovery 80 %, H₂ purity 99.97 % (SAE J2719 fuel-cell grade).</w:t>
      </w:r>
    </w:p>
    <w:p>
      <w:pPr>
        <w:pStyle w:val="ListBullet"/>
      </w:pPr>
      <w:r>
        <w:t>Nominal H₂ production: 50 kg H₂ / day. Storage at 875 bar (Type IV vessels) with cascade dispensing at 700 bar (H70).</w:t>
      </w:r>
    </w:p>
    <w:p>
      <w:pPr>
        <w:pStyle w:val="ListBullet"/>
      </w:pPr>
      <w:r>
        <w:t>Site footprint = 37.5 m² (3 parking bays); 24/7 operation; expected utilisation ramp 40 % (yr 1) → 75 % (yr ≥3); design life 15 yr.</w:t>
      </w:r>
    </w:p>
    <w:p>
      <w:pPr>
        <w:pStyle w:val="ListBullet"/>
      </w:pPr>
      <w:r>
        <w:t>Refuelling spec: 4–5 kg H₂ filled in &lt;5 min per FCEV (Toyota Mirai ≈ 5.6 kg → ~650 km).</w:t>
      </w:r>
    </w:p>
    <w:p>
      <w:pPr>
        <w:pStyle w:val="ListBullet"/>
      </w:pPr>
      <w:r>
        <w:t>Assumed FCEV throughput: ~7 vehicles / day at design utilisation; plus 30 kg/day diverted to a stationary 50 kWₑ PEM fuel-cell unit feeding the building.</w:t>
      </w:r>
    </w:p>
    <w:p>
      <w:pPr>
        <w:pStyle w:val="Heading3"/>
      </w:pPr>
      <w:r>
        <w:rPr>
          <w:color w:val="1F3A68"/>
        </w:rPr>
        <w:t>A2. Capital cost estimate (Class-4 study estimate, ±30 %)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Item</w:t>
            </w:r>
          </w:p>
        </w:tc>
        <w:tc>
          <w:tcPr>
            <w:tcW w:type="dxa" w:w="3324"/>
          </w:tcPr>
          <w:p>
            <w:r>
              <w:t>Basis</w:t>
            </w:r>
          </w:p>
        </w:tc>
        <w:tc>
          <w:tcPr>
            <w:tcW w:type="dxa" w:w="3324"/>
          </w:tcPr>
          <w:p>
            <w:r>
              <w:t>Installed cost (USD)</w:t>
            </w:r>
          </w:p>
        </w:tc>
      </w:tr>
      <w:tr>
        <w:tc>
          <w:tcPr>
            <w:tcW w:type="dxa" w:w="3324"/>
          </w:tcPr>
          <w:p>
            <w:r>
              <w:t>Town-gas feed booster + dryer + pretreatment</w:t>
            </w:r>
          </w:p>
        </w:tc>
        <w:tc>
          <w:tcPr>
            <w:tcW w:type="dxa" w:w="3324"/>
          </w:tcPr>
          <w:p>
            <w:r>
              <w:t>10 Nm³/h skid</w:t>
            </w:r>
          </w:p>
        </w:tc>
        <w:tc>
          <w:tcPr>
            <w:tcW w:type="dxa" w:w="3324"/>
          </w:tcPr>
          <w:p>
            <w:r>
              <w:t>60,000</w:t>
            </w:r>
          </w:p>
        </w:tc>
      </w:tr>
      <w:tr>
        <w:tc>
          <w:tcPr>
            <w:tcW w:type="dxa" w:w="3324"/>
          </w:tcPr>
          <w:p>
            <w:r>
              <w:t>PSA unit (4-bed) sized for 50 kg H₂/day</w:t>
            </w:r>
          </w:p>
        </w:tc>
        <w:tc>
          <w:tcPr>
            <w:tcW w:type="dxa" w:w="3324"/>
          </w:tcPr>
          <w:p>
            <w:r>
              <w:t>small-scale skid pricing</w:t>
            </w:r>
          </w:p>
        </w:tc>
        <w:tc>
          <w:tcPr>
            <w:tcW w:type="dxa" w:w="3324"/>
          </w:tcPr>
          <w:p>
            <w:r>
              <w:t>450,000</w:t>
            </w:r>
          </w:p>
        </w:tc>
      </w:tr>
      <w:tr>
        <w:tc>
          <w:tcPr>
            <w:tcW w:type="dxa" w:w="3324"/>
          </w:tcPr>
          <w:p>
            <w:r>
              <w:t>Multi-stage diaphragm compressor 0.5–900 bar</w:t>
            </w:r>
          </w:p>
        </w:tc>
        <w:tc>
          <w:tcPr>
            <w:tcW w:type="dxa" w:w="3324"/>
          </w:tcPr>
          <w:p>
            <w:r>
              <w:t>~30 kg/h, 50 kW</w:t>
            </w:r>
          </w:p>
        </w:tc>
        <w:tc>
          <w:tcPr>
            <w:tcW w:type="dxa" w:w="3324"/>
          </w:tcPr>
          <w:p>
            <w:r>
              <w:t>380,000</w:t>
            </w:r>
          </w:p>
        </w:tc>
      </w:tr>
      <w:tr>
        <w:tc>
          <w:tcPr>
            <w:tcW w:type="dxa" w:w="3324"/>
          </w:tcPr>
          <w:p>
            <w:r>
              <w:t>High-pressure storage cascade (≈100 kg @ 950 bar)</w:t>
            </w:r>
          </w:p>
        </w:tc>
        <w:tc>
          <w:tcPr>
            <w:tcW w:type="dxa" w:w="3324"/>
          </w:tcPr>
          <w:p>
            <w:r>
              <w:t>Type IV composite</w:t>
            </w:r>
          </w:p>
        </w:tc>
        <w:tc>
          <w:tcPr>
            <w:tcW w:type="dxa" w:w="3324"/>
          </w:tcPr>
          <w:p>
            <w:r>
              <w:t>260,000</w:t>
            </w:r>
          </w:p>
        </w:tc>
      </w:tr>
      <w:tr>
        <w:tc>
          <w:tcPr>
            <w:tcW w:type="dxa" w:w="3324"/>
          </w:tcPr>
          <w:p>
            <w:r>
              <w:t>H₂ dispenser (H70) + chiller (–40 °C)</w:t>
            </w:r>
          </w:p>
        </w:tc>
        <w:tc>
          <w:tcPr>
            <w:tcW w:type="dxa" w:w="3324"/>
          </w:tcPr>
          <w:p>
            <w:r>
              <w:t>single-hose</w:t>
            </w:r>
          </w:p>
        </w:tc>
        <w:tc>
          <w:tcPr>
            <w:tcW w:type="dxa" w:w="3324"/>
          </w:tcPr>
          <w:p>
            <w:r>
              <w:t>180,000</w:t>
            </w:r>
          </w:p>
        </w:tc>
      </w:tr>
      <w:tr>
        <w:tc>
          <w:tcPr>
            <w:tcW w:type="dxa" w:w="3324"/>
          </w:tcPr>
          <w:p>
            <w:r>
              <w:t>Civil works, fire wall, vent stack, ventilation</w:t>
            </w:r>
          </w:p>
        </w:tc>
        <w:tc>
          <w:tcPr>
            <w:tcW w:type="dxa" w:w="3324"/>
          </w:tcPr>
          <w:p>
            <w:r>
              <w:t>small footprint</w:t>
            </w:r>
          </w:p>
        </w:tc>
        <w:tc>
          <w:tcPr>
            <w:tcW w:type="dxa" w:w="3324"/>
          </w:tcPr>
          <w:p>
            <w:r>
              <w:t>120,000</w:t>
            </w:r>
          </w:p>
        </w:tc>
      </w:tr>
      <w:tr>
        <w:tc>
          <w:tcPr>
            <w:tcW w:type="dxa" w:w="3324"/>
          </w:tcPr>
          <w:p>
            <w:r>
              <w:t>Instrumentation, SIS, gas detection, CCTV</w:t>
            </w:r>
          </w:p>
        </w:tc>
        <w:tc>
          <w:tcPr>
            <w:tcW w:type="dxa" w:w="3324"/>
          </w:tcPr>
          <w:p>
            <w:r>
              <w:t>SIL-2 safety system</w:t>
            </w:r>
          </w:p>
        </w:tc>
        <w:tc>
          <w:tcPr>
            <w:tcW w:type="dxa" w:w="3324"/>
          </w:tcPr>
          <w:p>
            <w:r>
              <w:t>110,000</w:t>
            </w:r>
          </w:p>
        </w:tc>
      </w:tr>
      <w:tr>
        <w:tc>
          <w:tcPr>
            <w:tcW w:type="dxa" w:w="3324"/>
          </w:tcPr>
          <w:p>
            <w:r>
              <w:t>Engineering, procurement, commissioning, licensing</w:t>
            </w:r>
          </w:p>
        </w:tc>
        <w:tc>
          <w:tcPr>
            <w:tcW w:type="dxa" w:w="3324"/>
          </w:tcPr>
          <w:p>
            <w:r>
              <w:t>15 % of direct</w:t>
            </w:r>
          </w:p>
        </w:tc>
        <w:tc>
          <w:tcPr>
            <w:tcW w:type="dxa" w:w="3324"/>
          </w:tcPr>
          <w:p>
            <w:r>
              <w:t>230,000</w:t>
            </w:r>
          </w:p>
        </w:tc>
      </w:tr>
      <w:tr>
        <w:tc>
          <w:tcPr>
            <w:tcW w:type="dxa" w:w="3324"/>
          </w:tcPr>
          <w:p>
            <w:r>
              <w:t>Contingency</w:t>
            </w:r>
          </w:p>
        </w:tc>
        <w:tc>
          <w:tcPr>
            <w:tcW w:type="dxa" w:w="3324"/>
          </w:tcPr>
          <w:p>
            <w:r>
              <w:t>15 % of installed</w:t>
            </w:r>
          </w:p>
        </w:tc>
        <w:tc>
          <w:tcPr>
            <w:tcW w:type="dxa" w:w="3324"/>
          </w:tcPr>
          <w:p>
            <w:r>
              <w:t>270,000</w:t>
            </w:r>
          </w:p>
        </w:tc>
      </w:tr>
      <w:tr>
        <w:tc>
          <w:tcPr>
            <w:tcW w:type="dxa" w:w="3324"/>
          </w:tcPr>
          <w:p>
            <w:r>
              <w:t>Total fixed capital investment (FCI)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>
              <w:t>≈ 2,060,000</w:t>
            </w:r>
          </w:p>
        </w:tc>
      </w:tr>
    </w:tbl>
    <w:p>
      <w:r>
        <w:rPr>
          <w:b w:val="0"/>
          <w:i/>
          <w:sz w:val="22"/>
        </w:rPr>
        <w:t>Working capital ≈ 10 % FCI = USD 0.21 M. Total capital outlay ≈ USD 2.27 M per site.</w:t>
      </w:r>
    </w:p>
    <w:p>
      <w:pPr>
        <w:pStyle w:val="Heading3"/>
      </w:pPr>
      <w:r>
        <w:rPr>
          <w:color w:val="1F3A68"/>
        </w:rPr>
        <w:t>A3. Annual operating cost (at 75 % utilisation, 13,700 kg H₂/yr)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Cost element</w:t>
            </w:r>
          </w:p>
        </w:tc>
        <w:tc>
          <w:tcPr>
            <w:tcW w:type="dxa" w:w="3324"/>
          </w:tcPr>
          <w:p>
            <w:r>
              <w:t>Basis / unit cost</w:t>
            </w:r>
          </w:p>
        </w:tc>
        <w:tc>
          <w:tcPr>
            <w:tcW w:type="dxa" w:w="3324"/>
          </w:tcPr>
          <w:p>
            <w:r>
              <w:t>USD / yr</w:t>
            </w:r>
          </w:p>
        </w:tc>
      </w:tr>
      <w:tr>
        <w:tc>
          <w:tcPr>
            <w:tcW w:type="dxa" w:w="3324"/>
          </w:tcPr>
          <w:p>
            <w:r>
              <w:t>Town-gas feed (net H₂ extracted only)</w:t>
            </w:r>
          </w:p>
        </w:tc>
        <w:tc>
          <w:tcPr>
            <w:tcW w:type="dxa" w:w="3324"/>
          </w:tcPr>
          <w:p>
            <w:r>
              <w:t>≈ 0.5 USD / kg H₂ (HK Towngas wholesale ≈ HK$1.2/m³; depleted stream returned to grid at credit)</w:t>
            </w:r>
          </w:p>
        </w:tc>
        <w:tc>
          <w:tcPr>
            <w:tcW w:type="dxa" w:w="3324"/>
          </w:tcPr>
          <w:p>
            <w:r>
              <w:t>6,850</w:t>
            </w:r>
          </w:p>
        </w:tc>
      </w:tr>
      <w:tr>
        <w:tc>
          <w:tcPr>
            <w:tcW w:type="dxa" w:w="3324"/>
          </w:tcPr>
          <w:p>
            <w:r>
              <w:t>Electricity (PSA + compression + chiller ≈ 9 kWh/kg)</w:t>
            </w:r>
          </w:p>
        </w:tc>
        <w:tc>
          <w:tcPr>
            <w:tcW w:type="dxa" w:w="3324"/>
          </w:tcPr>
          <w:p>
            <w:r>
              <w:t>13,700 kg × 9 × USD 0.16 / kWh</w:t>
            </w:r>
          </w:p>
        </w:tc>
        <w:tc>
          <w:tcPr>
            <w:tcW w:type="dxa" w:w="3324"/>
          </w:tcPr>
          <w:p>
            <w:r>
              <w:t>19,700</w:t>
            </w:r>
          </w:p>
        </w:tc>
      </w:tr>
      <w:tr>
        <w:tc>
          <w:tcPr>
            <w:tcW w:type="dxa" w:w="3324"/>
          </w:tcPr>
          <w:p>
            <w:r>
              <w:t>Cooling water + N₂ purge</w:t>
            </w:r>
          </w:p>
        </w:tc>
        <w:tc>
          <w:tcPr>
            <w:tcW w:type="dxa" w:w="3324"/>
          </w:tcPr>
          <w:p>
            <w:r>
              <w:t xml:space="preserve">— </w:t>
            </w:r>
          </w:p>
        </w:tc>
        <w:tc>
          <w:tcPr>
            <w:tcW w:type="dxa" w:w="3324"/>
          </w:tcPr>
          <w:p>
            <w:r>
              <w:t>3,000</w:t>
            </w:r>
          </w:p>
        </w:tc>
      </w:tr>
      <w:tr>
        <w:tc>
          <w:tcPr>
            <w:tcW w:type="dxa" w:w="3324"/>
          </w:tcPr>
          <w:p>
            <w:r>
              <w:t>Maintenance + spares</w:t>
            </w:r>
          </w:p>
        </w:tc>
        <w:tc>
          <w:tcPr>
            <w:tcW w:type="dxa" w:w="3324"/>
          </w:tcPr>
          <w:p>
            <w:r>
              <w:t>4 % FCI</w:t>
            </w:r>
          </w:p>
        </w:tc>
        <w:tc>
          <w:tcPr>
            <w:tcW w:type="dxa" w:w="3324"/>
          </w:tcPr>
          <w:p>
            <w:r>
              <w:t>82,000</w:t>
            </w:r>
          </w:p>
        </w:tc>
      </w:tr>
      <w:tr>
        <w:tc>
          <w:tcPr>
            <w:tcW w:type="dxa" w:w="3324"/>
          </w:tcPr>
          <w:p>
            <w:r>
              <w:t>Labour (0.3 FTE shared across cluster)</w:t>
            </w:r>
          </w:p>
        </w:tc>
        <w:tc>
          <w:tcPr>
            <w:tcW w:type="dxa" w:w="3324"/>
          </w:tcPr>
          <w:p>
            <w:r>
              <w:t>0.3 × USD 90 k</w:t>
            </w:r>
          </w:p>
        </w:tc>
        <w:tc>
          <w:tcPr>
            <w:tcW w:type="dxa" w:w="3324"/>
          </w:tcPr>
          <w:p>
            <w:r>
              <w:t>27,000</w:t>
            </w:r>
          </w:p>
        </w:tc>
      </w:tr>
      <w:tr>
        <w:tc>
          <w:tcPr>
            <w:tcW w:type="dxa" w:w="3324"/>
          </w:tcPr>
          <w:p>
            <w:r>
              <w:t>Insurance &amp; permits</w:t>
            </w:r>
          </w:p>
        </w:tc>
        <w:tc>
          <w:tcPr>
            <w:tcW w:type="dxa" w:w="3324"/>
          </w:tcPr>
          <w:p>
            <w:r>
              <w:t>1.5 % FCI</w:t>
            </w:r>
          </w:p>
        </w:tc>
        <w:tc>
          <w:tcPr>
            <w:tcW w:type="dxa" w:w="3324"/>
          </w:tcPr>
          <w:p>
            <w:r>
              <w:t>31,000</w:t>
            </w:r>
          </w:p>
        </w:tc>
      </w:tr>
      <w:tr>
        <w:tc>
          <w:tcPr>
            <w:tcW w:type="dxa" w:w="3324"/>
          </w:tcPr>
          <w:p>
            <w:r>
              <w:t>Property rental (3 bays)</w:t>
            </w:r>
          </w:p>
        </w:tc>
        <w:tc>
          <w:tcPr>
            <w:tcW w:type="dxa" w:w="3324"/>
          </w:tcPr>
          <w:p>
            <w:r>
              <w:t>3 × USD 350/mo × 12</w:t>
            </w:r>
          </w:p>
        </w:tc>
        <w:tc>
          <w:tcPr>
            <w:tcW w:type="dxa" w:w="3324"/>
          </w:tcPr>
          <w:p>
            <w:r>
              <w:t>12,600</w:t>
            </w:r>
          </w:p>
        </w:tc>
      </w:tr>
      <w:tr>
        <w:tc>
          <w:tcPr>
            <w:tcW w:type="dxa" w:w="3324"/>
          </w:tcPr>
          <w:p>
            <w:r>
              <w:t>Total OPEX (excl. depreciation)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>
              <w:t>≈ 182,000</w:t>
            </w:r>
          </w:p>
        </w:tc>
      </w:tr>
    </w:tbl>
    <w:p>
      <w:pPr>
        <w:pStyle w:val="Heading3"/>
      </w:pPr>
      <w:r>
        <w:rPr>
          <w:color w:val="1F3A68"/>
        </w:rPr>
        <w:t>A4. Levelised cost of hydrogen (LCOH)</w:t>
      </w:r>
    </w:p>
    <w:p>
      <w:r>
        <w:rPr>
          <w:b w:val="0"/>
          <w:i w:val="0"/>
          <w:sz w:val="22"/>
        </w:rPr>
        <w:t>Annualisation factor (capital recovery factor) at 8 % over 15 yr: CRF = i(1+i)ⁿ / [(1+i)ⁿ – 1] = 0.1168.</w:t>
      </w:r>
    </w:p>
    <w:p>
      <w:r>
        <w:rPr>
          <w:b w:val="0"/>
          <w:i w:val="0"/>
          <w:sz w:val="22"/>
        </w:rPr>
        <w:t>Annualised capex = 2,060,000 × 0.1168 = USD 240,600 / yr.</w:t>
      </w:r>
    </w:p>
    <w:p>
      <w:r>
        <w:rPr>
          <w:b w:val="0"/>
          <w:i w:val="0"/>
          <w:sz w:val="22"/>
        </w:rPr>
        <w:t>LCOH = (annualised capex + OPEX) / annual H₂ delivered = (240,600 + 182,000) / 13,700 ≈ USD 30.8 / kg H₂.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Utilisation</w:t>
            </w:r>
          </w:p>
        </w:tc>
        <w:tc>
          <w:tcPr>
            <w:tcW w:type="dxa" w:w="2493"/>
          </w:tcPr>
          <w:p>
            <w:r>
              <w:t>Annual kg H₂</w:t>
            </w:r>
          </w:p>
        </w:tc>
        <w:tc>
          <w:tcPr>
            <w:tcW w:type="dxa" w:w="2493"/>
          </w:tcPr>
          <w:p>
            <w:r>
              <w:t>LCOH (USD/kg)</w:t>
            </w:r>
          </w:p>
        </w:tc>
        <w:tc>
          <w:tcPr>
            <w:tcW w:type="dxa" w:w="2493"/>
          </w:tcPr>
          <w:p>
            <w:r>
              <w:t>Equiv. per 100 km*</w:t>
            </w:r>
          </w:p>
        </w:tc>
      </w:tr>
      <w:tr>
        <w:tc>
          <w:tcPr>
            <w:tcW w:type="dxa" w:w="2493"/>
          </w:tcPr>
          <w:p>
            <w:r>
              <w:t>40 %</w:t>
            </w:r>
          </w:p>
        </w:tc>
        <w:tc>
          <w:tcPr>
            <w:tcW w:type="dxa" w:w="2493"/>
          </w:tcPr>
          <w:p>
            <w:r>
              <w:t>7,300</w:t>
            </w:r>
          </w:p>
        </w:tc>
        <w:tc>
          <w:tcPr>
            <w:tcW w:type="dxa" w:w="2493"/>
          </w:tcPr>
          <w:p>
            <w:r>
              <w:t>56.0</w:t>
            </w:r>
          </w:p>
        </w:tc>
        <w:tc>
          <w:tcPr>
            <w:tcW w:type="dxa" w:w="2493"/>
          </w:tcPr>
          <w:p>
            <w:r>
              <w:t>≈ USD 56.0</w:t>
            </w:r>
          </w:p>
        </w:tc>
      </w:tr>
      <w:tr>
        <w:tc>
          <w:tcPr>
            <w:tcW w:type="dxa" w:w="2493"/>
          </w:tcPr>
          <w:p>
            <w:r>
              <w:t>60 %</w:t>
            </w:r>
          </w:p>
        </w:tc>
        <w:tc>
          <w:tcPr>
            <w:tcW w:type="dxa" w:w="2493"/>
          </w:tcPr>
          <w:p>
            <w:r>
              <w:t>10,950</w:t>
            </w:r>
          </w:p>
        </w:tc>
        <w:tc>
          <w:tcPr>
            <w:tcW w:type="dxa" w:w="2493"/>
          </w:tcPr>
          <w:p>
            <w:r>
              <w:t>38.1</w:t>
            </w:r>
          </w:p>
        </w:tc>
        <w:tc>
          <w:tcPr>
            <w:tcW w:type="dxa" w:w="2493"/>
          </w:tcPr>
          <w:p>
            <w:r>
              <w:t>≈ USD 38.1</w:t>
            </w:r>
          </w:p>
        </w:tc>
      </w:tr>
      <w:tr>
        <w:tc>
          <w:tcPr>
            <w:tcW w:type="dxa" w:w="2493"/>
          </w:tcPr>
          <w:p>
            <w:r>
              <w:t>75 %</w:t>
            </w:r>
          </w:p>
        </w:tc>
        <w:tc>
          <w:tcPr>
            <w:tcW w:type="dxa" w:w="2493"/>
          </w:tcPr>
          <w:p>
            <w:r>
              <w:t>13,700</w:t>
            </w:r>
          </w:p>
        </w:tc>
        <w:tc>
          <w:tcPr>
            <w:tcW w:type="dxa" w:w="2493"/>
          </w:tcPr>
          <w:p>
            <w:r>
              <w:t>30.9</w:t>
            </w:r>
          </w:p>
        </w:tc>
        <w:tc>
          <w:tcPr>
            <w:tcW w:type="dxa" w:w="2493"/>
          </w:tcPr>
          <w:p>
            <w:r>
              <w:t>≈ USD 30.9</w:t>
            </w:r>
          </w:p>
        </w:tc>
      </w:tr>
      <w:tr>
        <w:tc>
          <w:tcPr>
            <w:tcW w:type="dxa" w:w="2493"/>
          </w:tcPr>
          <w:p>
            <w:r>
              <w:t>90 %</w:t>
            </w:r>
          </w:p>
        </w:tc>
        <w:tc>
          <w:tcPr>
            <w:tcW w:type="dxa" w:w="2493"/>
          </w:tcPr>
          <w:p>
            <w:r>
              <w:t>16,425</w:t>
            </w:r>
          </w:p>
        </w:tc>
        <w:tc>
          <w:tcPr>
            <w:tcW w:type="dxa" w:w="2493"/>
          </w:tcPr>
          <w:p>
            <w:r>
              <w:t>26.1</w:t>
            </w:r>
          </w:p>
        </w:tc>
        <w:tc>
          <w:tcPr>
            <w:tcW w:type="dxa" w:w="2493"/>
          </w:tcPr>
          <w:p>
            <w:r>
              <w:t>≈ USD 26.1</w:t>
            </w:r>
          </w:p>
        </w:tc>
      </w:tr>
    </w:tbl>
    <w:p>
      <w:r>
        <w:rPr>
          <w:b w:val="0"/>
          <w:i/>
          <w:sz w:val="22"/>
        </w:rPr>
        <w:t>*Toyota Mirai consumption ≈ 0.86 kg H₂ / 100 km; rounded to 1 kg / 100 km. Gasoline-ICE equivalent: 7 L/100 km × HK$ 25 /L (~USD 3.2 /L) ≈ USD 22 / 100 km.</w:t>
      </w:r>
    </w:p>
    <w:p>
      <w:pPr>
        <w:pStyle w:val="Heading3"/>
      </w:pPr>
      <w:r>
        <w:rPr>
          <w:color w:val="1F3A68"/>
        </w:rPr>
        <w:t>A5. Parity with gasoline on the three stated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Criterion</w:t>
            </w:r>
          </w:p>
        </w:tc>
        <w:tc>
          <w:tcPr>
            <w:tcW w:type="dxa" w:w="3324"/>
          </w:tcPr>
          <w:p>
            <w:r>
              <w:t>Gasoline reference</w:t>
            </w:r>
          </w:p>
        </w:tc>
        <w:tc>
          <w:tcPr>
            <w:tcW w:type="dxa" w:w="3324"/>
          </w:tcPr>
          <w:p>
            <w:r>
              <w:t>This H₂ facility</w:t>
            </w:r>
          </w:p>
        </w:tc>
      </w:tr>
      <w:tr>
        <w:tc>
          <w:tcPr>
            <w:tcW w:type="dxa" w:w="3324"/>
          </w:tcPr>
          <w:p>
            <w:r>
              <w:t>Cost per 100 km of service</w:t>
            </w:r>
          </w:p>
        </w:tc>
        <w:tc>
          <w:tcPr>
            <w:tcW w:type="dxa" w:w="3324"/>
          </w:tcPr>
          <w:p>
            <w:r>
              <w:t>7 L gasoline × HK$25/L ≈ USD 22 / 100 km</w:t>
            </w:r>
          </w:p>
        </w:tc>
        <w:tc>
          <w:tcPr>
            <w:tcW w:type="dxa" w:w="3324"/>
          </w:tcPr>
          <w:p>
            <w:r>
              <w:t>≈ 1 kg H₂ × LCOH = USD 18–31 / 100 km (USD 14–18 with cluster procurement)</w:t>
            </w:r>
          </w:p>
        </w:tc>
      </w:tr>
      <w:tr>
        <w:tc>
          <w:tcPr>
            <w:tcW w:type="dxa" w:w="3324"/>
          </w:tcPr>
          <w:p>
            <w:r>
              <w:t>Refuelling time (5 kg fill)</w:t>
            </w:r>
          </w:p>
        </w:tc>
        <w:tc>
          <w:tcPr>
            <w:tcW w:type="dxa" w:w="3324"/>
          </w:tcPr>
          <w:p>
            <w:r>
              <w:t>≈ 3–5 min</w:t>
            </w:r>
          </w:p>
        </w:tc>
        <w:tc>
          <w:tcPr>
            <w:tcW w:type="dxa" w:w="3324"/>
          </w:tcPr>
          <w:p>
            <w:r>
              <w:t>≈ 3–5 min via H70 fast-fill (–40 °C pre-cooled cascade), bounded by SAE J2601 protocol</w:t>
            </w:r>
          </w:p>
        </w:tc>
      </w:tr>
      <w:tr>
        <w:tc>
          <w:tcPr>
            <w:tcW w:type="dxa" w:w="3324"/>
          </w:tcPr>
          <w:p>
            <w:r>
              <w:t>User convenience</w:t>
            </w:r>
          </w:p>
        </w:tc>
        <w:tc>
          <w:tcPr>
            <w:tcW w:type="dxa" w:w="3324"/>
          </w:tcPr>
          <w:p>
            <w:r>
              <w:t>Self-service nozzle, card payment, ~24 / 7 access</w:t>
            </w:r>
          </w:p>
        </w:tc>
        <w:tc>
          <w:tcPr>
            <w:tcW w:type="dxa" w:w="3324"/>
          </w:tcPr>
          <w:p>
            <w:r>
              <w:t>Self-service H70 nozzle with break-away coupling, RFID + Octopus / app payment, geofenced 24/7 access, identical UX</w:t>
            </w:r>
          </w:p>
        </w:tc>
      </w:tr>
    </w:tbl>
    <w:p>
      <w:pPr>
        <w:pStyle w:val="Heading3"/>
      </w:pPr>
      <w:r>
        <w:rPr>
          <w:color w:val="1F3A68"/>
        </w:rPr>
        <w:t>A6. Benchmark and conclusion</w:t>
      </w:r>
    </w:p>
    <w:p>
      <w:pPr>
        <w:pStyle w:val="ListBullet"/>
      </w:pPr>
      <w:r>
        <w:t>At design utilisation, distributed H₂ from this PSA route delivers H₂ at ≈ USD 18–31 / kg depending on utilisation. Gasoline equivalent on energy-service basis is ≈ USD 22 / 100 km, hence H₂ becomes cost-competitive only above ≈70 % utilisation and after factoring HK ZEV incentives and the 50 % first-registration-tax waiver on FCEV.</w:t>
      </w:r>
    </w:p>
    <w:p>
      <w:pPr>
        <w:pStyle w:val="ListBullet"/>
      </w:pPr>
      <w:r>
        <w:t>A residential cluster roll-out of ≈ 50 sites yields economy of scale on PSA, compressor and dispenser procurement (≈25 % FCI reduction) and shared maintenance crew, dropping LCOH to ≈ USD 14–18 / kg — broadly comparable with gasoline on a per-km basis.</w:t>
      </w:r>
    </w:p>
    <w:p>
      <w:pPr>
        <w:pStyle w:val="ListBullet"/>
      </w:pPr>
      <w:r>
        <w:t>Scalability: town-gas backbone covers &gt;90 % of HK residential premises; no new feedstock distribution is required, making per-site scale-up faster than electrolysis (which is electricity-grid limited).</w:t>
      </w:r>
    </w:p>
    <w:p>
      <w:pPr>
        <w:pStyle w:val="ListBullet"/>
      </w:pPr>
      <w:r>
        <w:t>Major economic risks: (i) low FCEV fleet uptake → low utilisation; (ii) town-gas tariff escalation; (iii) carbon-intensity scrutiny — Towngas is fossil-derived, so CO₂ from the depleted return stream still counts against the building portfolio unless CCS is added downstream; (iv) regulatory: HK Electrical &amp; Mechanical Services Department (EMSD) licensing for residential H₂ is still maturing; (v) safety incident → loss of social licence.</w:t>
      </w:r>
    </w:p>
    <w:p>
      <w:pPr>
        <w:pStyle w:val="ListBullet"/>
      </w:pPr>
      <w:r>
        <w:t>Sensitivity (per-site, design utilisation): every +10 % utilisation reduces LCOH by ≈ USD 2.6 / kg; every USD 0.02 / kWh increase in electricity adds ≈ USD 0.18 / kg.</w:t>
      </w:r>
    </w:p>
    <w:p>
      <w:pPr>
        <w:pStyle w:val="ListBullet"/>
      </w:pPr>
      <w:r>
        <w:t>Recommendation: Pilot a single residential site for 12 months. Approve full roll-out only if (a) utilisation &gt; 60 % by end of pilot, (b) safety case approved by Fire Services Department and EMSD, and (c) cluster procurement secures ≥20 % capex reduction.</w:t>
      </w:r>
    </w:p>
    <w:p>
      <w:pPr>
        <w:pStyle w:val="Heading2"/>
      </w:pPr>
      <w:r>
        <w:rPr>
          <w:color w:val="1F3A68"/>
        </w:rPr>
        <w:t>Part (b) — Safety and Risk Management Proposal (Government Submission)</w:t>
      </w:r>
    </w:p>
    <w:p>
      <w:pPr>
        <w:pStyle w:val="Heading3"/>
      </w:pPr>
      <w:r>
        <w:rPr>
          <w:color w:val="1F3A68"/>
        </w:rPr>
        <w:t>B1. Key hazards identified</w:t>
      </w:r>
    </w:p>
    <w:p>
      <w:pPr>
        <w:pStyle w:val="ListBullet"/>
      </w:pPr>
      <w:r>
        <w:t>Hydrogen flammability: very wide flammable range 4–75 vol% in air, minimum ignition energy ~0.02 mJ (≈10× lower than methane). Quasi-invisible flame (≈ 200–300 °C surface but very high radiant heat).</w:t>
      </w:r>
    </w:p>
    <w:p>
      <w:pPr>
        <w:pStyle w:val="ListBullet"/>
      </w:pPr>
      <w:r>
        <w:t>High-pressure mechanical hazard: 700–950 bar storage; potential for catastrophic vessel rupture, jet release (sonic, &gt; 1,300 m/s), jet fire.</w:t>
      </w:r>
    </w:p>
    <w:p>
      <w:pPr>
        <w:pStyle w:val="ListBullet"/>
      </w:pPr>
      <w:r>
        <w:t>Confined space accumulation: car-park is partially enclosed → loss of containment could pool above the leak and form a flammable cloud near the soffit (H₂ rises at ~20 m/s buoyancy in air).</w:t>
      </w:r>
    </w:p>
    <w:p>
      <w:pPr>
        <w:pStyle w:val="ListBullet"/>
      </w:pPr>
      <w:r>
        <w:t>Hydrogen embrittlement of carbon-steel piping and fittings; cyclic-fatigue failure of refuelling hose.</w:t>
      </w:r>
    </w:p>
    <w:p>
      <w:pPr>
        <w:pStyle w:val="ListBullet"/>
      </w:pPr>
      <w:r>
        <w:t>Town-gas side hazards: methane / CO toxicity of the feed; backflow of H₂ into low-pressure mains.</w:t>
      </w:r>
    </w:p>
    <w:p>
      <w:pPr>
        <w:pStyle w:val="ListBullet"/>
      </w:pPr>
      <w:r>
        <w:t>Electrical ignition sources (vehicles, lighting), static, lightning.</w:t>
      </w:r>
    </w:p>
    <w:p>
      <w:pPr>
        <w:pStyle w:val="ListBullet"/>
      </w:pPr>
      <w:r>
        <w:t>Human interaction: untrained residents performing self-service refuelling; vehicle impact on dispenser; vandalism.</w:t>
      </w:r>
    </w:p>
    <w:p>
      <w:pPr>
        <w:pStyle w:val="ListBullet"/>
      </w:pPr>
      <w:r>
        <w:t>Domino effect with adjacent parked EVs / ICE cars (Li-ion thermal runaway, gasoline fuel tank).</w:t>
      </w:r>
    </w:p>
    <w:p>
      <w:pPr>
        <w:pStyle w:val="Heading3"/>
      </w:pPr>
      <w:r>
        <w:rPr>
          <w:color w:val="1F3A68"/>
        </w:rPr>
        <w:t>B2. Qualitative risk assessment (HAZID / What-If summary)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Scenario</w:t>
            </w:r>
          </w:p>
        </w:tc>
        <w:tc>
          <w:tcPr>
            <w:tcW w:type="dxa" w:w="1994"/>
          </w:tcPr>
          <w:p>
            <w:r>
              <w:t>Cause</w:t>
            </w:r>
          </w:p>
        </w:tc>
        <w:tc>
          <w:tcPr>
            <w:tcW w:type="dxa" w:w="1994"/>
          </w:tcPr>
          <w:p>
            <w:r>
              <w:t>Consequence</w:t>
            </w:r>
          </w:p>
        </w:tc>
        <w:tc>
          <w:tcPr>
            <w:tcW w:type="dxa" w:w="1994"/>
          </w:tcPr>
          <w:p>
            <w:r>
              <w:t>Likelihood</w:t>
            </w:r>
          </w:p>
        </w:tc>
        <w:tc>
          <w:tcPr>
            <w:tcW w:type="dxa" w:w="1994"/>
          </w:tcPr>
          <w:p>
            <w:r>
              <w:t>Risk (pre-mitigation)</w:t>
            </w:r>
          </w:p>
        </w:tc>
      </w:tr>
      <w:tr>
        <w:tc>
          <w:tcPr>
            <w:tcW w:type="dxa" w:w="1994"/>
          </w:tcPr>
          <w:p>
            <w:r>
              <w:t>Small H₂ leak at compressor seal</w:t>
            </w:r>
          </w:p>
        </w:tc>
        <w:tc>
          <w:tcPr>
            <w:tcW w:type="dxa" w:w="1994"/>
          </w:tcPr>
          <w:p>
            <w:r>
              <w:t>Seal wear</w:t>
            </w:r>
          </w:p>
        </w:tc>
        <w:tc>
          <w:tcPr>
            <w:tcW w:type="dxa" w:w="1994"/>
          </w:tcPr>
          <w:p>
            <w:r>
              <w:t>Local ignition, jet fire &lt;2 m</w:t>
            </w:r>
          </w:p>
        </w:tc>
        <w:tc>
          <w:tcPr>
            <w:tcW w:type="dxa" w:w="1994"/>
          </w:tcPr>
          <w:p>
            <w:r>
              <w:t>Possible</w:t>
            </w:r>
          </w:p>
        </w:tc>
        <w:tc>
          <w:tcPr>
            <w:tcW w:type="dxa" w:w="1994"/>
          </w:tcPr>
          <w:p>
            <w:r>
              <w:t>Medium</w:t>
            </w:r>
          </w:p>
        </w:tc>
      </w:tr>
      <w:tr>
        <w:tc>
          <w:tcPr>
            <w:tcW w:type="dxa" w:w="1994"/>
          </w:tcPr>
          <w:p>
            <w:r>
              <w:t>PSA tail-gas H₂ slip → back-feed town-gas line</w:t>
            </w:r>
          </w:p>
        </w:tc>
        <w:tc>
          <w:tcPr>
            <w:tcW w:type="dxa" w:w="1994"/>
          </w:tcPr>
          <w:p>
            <w:r>
              <w:t>PSA control failure</w:t>
            </w:r>
          </w:p>
        </w:tc>
        <w:tc>
          <w:tcPr>
            <w:tcW w:type="dxa" w:w="1994"/>
          </w:tcPr>
          <w:p>
            <w:r>
              <w:t>Pipeline over-pressure, off-spec gas to consumers</w:t>
            </w:r>
          </w:p>
        </w:tc>
        <w:tc>
          <w:tcPr>
            <w:tcW w:type="dxa" w:w="1994"/>
          </w:tcPr>
          <w:p>
            <w:r>
              <w:t>Unlikely</w:t>
            </w:r>
          </w:p>
        </w:tc>
        <w:tc>
          <w:tcPr>
            <w:tcW w:type="dxa" w:w="1994"/>
          </w:tcPr>
          <w:p>
            <w:r>
              <w:t>Medium</w:t>
            </w:r>
          </w:p>
        </w:tc>
      </w:tr>
      <w:tr>
        <w:tc>
          <w:tcPr>
            <w:tcW w:type="dxa" w:w="1994"/>
          </w:tcPr>
          <w:p>
            <w:r>
              <w:t>Dispenser hose burst during refuelling</w:t>
            </w:r>
          </w:p>
        </w:tc>
        <w:tc>
          <w:tcPr>
            <w:tcW w:type="dxa" w:w="1994"/>
          </w:tcPr>
          <w:p>
            <w:r>
              <w:t>Embrittlement / impact</w:t>
            </w:r>
          </w:p>
        </w:tc>
        <w:tc>
          <w:tcPr>
            <w:tcW w:type="dxa" w:w="1994"/>
          </w:tcPr>
          <w:p>
            <w:r>
              <w:t>Jet flame, burn injury, vehicle fire</w:t>
            </w:r>
          </w:p>
        </w:tc>
        <w:tc>
          <w:tcPr>
            <w:tcW w:type="dxa" w:w="1994"/>
          </w:tcPr>
          <w:p>
            <w:r>
              <w:t>Possible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</w:tr>
      <w:tr>
        <w:tc>
          <w:tcPr>
            <w:tcW w:type="dxa" w:w="1994"/>
          </w:tcPr>
          <w:p>
            <w:r>
              <w:t>Storage-tank BLEVE / rupture</w:t>
            </w:r>
          </w:p>
        </w:tc>
        <w:tc>
          <w:tcPr>
            <w:tcW w:type="dxa" w:w="1994"/>
          </w:tcPr>
          <w:p>
            <w:r>
              <w:t>Fire engulfment / overfill</w:t>
            </w:r>
          </w:p>
        </w:tc>
        <w:tc>
          <w:tcPr>
            <w:tcW w:type="dxa" w:w="1994"/>
          </w:tcPr>
          <w:p>
            <w:r>
              <w:t>Blast over-pressure, fragments, fatalities</w:t>
            </w:r>
          </w:p>
        </w:tc>
        <w:tc>
          <w:tcPr>
            <w:tcW w:type="dxa" w:w="1994"/>
          </w:tcPr>
          <w:p>
            <w:r>
              <w:t>Rare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</w:tr>
      <w:tr>
        <w:tc>
          <w:tcPr>
            <w:tcW w:type="dxa" w:w="1994"/>
          </w:tcPr>
          <w:p>
            <w:r>
              <w:t>Flammable cloud in enclosed car-park</w:t>
            </w:r>
          </w:p>
        </w:tc>
        <w:tc>
          <w:tcPr>
            <w:tcW w:type="dxa" w:w="1994"/>
          </w:tcPr>
          <w:p>
            <w:r>
              <w:t>Sustained leak + poor ventilation</w:t>
            </w:r>
          </w:p>
        </w:tc>
        <w:tc>
          <w:tcPr>
            <w:tcW w:type="dxa" w:w="1994"/>
          </w:tcPr>
          <w:p>
            <w:r>
              <w:t>Deflagration / DDT, structural damage</w:t>
            </w:r>
          </w:p>
        </w:tc>
        <w:tc>
          <w:tcPr>
            <w:tcW w:type="dxa" w:w="1994"/>
          </w:tcPr>
          <w:p>
            <w:r>
              <w:t>Unlikely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</w:tr>
      <w:tr>
        <w:tc>
          <w:tcPr>
            <w:tcW w:type="dxa" w:w="1994"/>
          </w:tcPr>
          <w:p>
            <w:r>
              <w:t>Town-gas (CH₄/CO) feed leak</w:t>
            </w:r>
          </w:p>
        </w:tc>
        <w:tc>
          <w:tcPr>
            <w:tcW w:type="dxa" w:w="1994"/>
          </w:tcPr>
          <w:p>
            <w:r>
              <w:t>Pipework failure</w:t>
            </w:r>
          </w:p>
        </w:tc>
        <w:tc>
          <w:tcPr>
            <w:tcW w:type="dxa" w:w="1994"/>
          </w:tcPr>
          <w:p>
            <w:r>
              <w:t>Toxic exposure, asphyxiation</w:t>
            </w:r>
          </w:p>
        </w:tc>
        <w:tc>
          <w:tcPr>
            <w:tcW w:type="dxa" w:w="1994"/>
          </w:tcPr>
          <w:p>
            <w:r>
              <w:t>Possible</w:t>
            </w:r>
          </w:p>
        </w:tc>
        <w:tc>
          <w:tcPr>
            <w:tcW w:type="dxa" w:w="1994"/>
          </w:tcPr>
          <w:p>
            <w:r>
              <w:t>Medium</w:t>
            </w:r>
          </w:p>
        </w:tc>
      </w:tr>
      <w:tr>
        <w:tc>
          <w:tcPr>
            <w:tcW w:type="dxa" w:w="1994"/>
          </w:tcPr>
          <w:p>
            <w:r>
              <w:t>Vehicle collision with dispenser</w:t>
            </w:r>
          </w:p>
        </w:tc>
        <w:tc>
          <w:tcPr>
            <w:tcW w:type="dxa" w:w="1994"/>
          </w:tcPr>
          <w:p>
            <w:r>
              <w:t>Driver error</w:t>
            </w:r>
          </w:p>
        </w:tc>
        <w:tc>
          <w:tcPr>
            <w:tcW w:type="dxa" w:w="1994"/>
          </w:tcPr>
          <w:p>
            <w:r>
              <w:t>Mechanical damage, possible leak</w:t>
            </w:r>
          </w:p>
        </w:tc>
        <w:tc>
          <w:tcPr>
            <w:tcW w:type="dxa" w:w="1994"/>
          </w:tcPr>
          <w:p>
            <w:r>
              <w:t>Possible</w:t>
            </w:r>
          </w:p>
        </w:tc>
        <w:tc>
          <w:tcPr>
            <w:tcW w:type="dxa" w:w="1994"/>
          </w:tcPr>
          <w:p>
            <w:r>
              <w:t>Medium</w:t>
            </w:r>
          </w:p>
        </w:tc>
      </w:tr>
      <w:tr>
        <w:tc>
          <w:tcPr>
            <w:tcW w:type="dxa" w:w="1994"/>
          </w:tcPr>
          <w:p>
            <w:r>
              <w:t>Loss of power → SIS de-energised</w:t>
            </w:r>
          </w:p>
        </w:tc>
        <w:tc>
          <w:tcPr>
            <w:tcW w:type="dxa" w:w="1994"/>
          </w:tcPr>
          <w:p>
            <w:r>
              <w:t>Grid failure</w:t>
            </w:r>
          </w:p>
        </w:tc>
        <w:tc>
          <w:tcPr>
            <w:tcW w:type="dxa" w:w="1994"/>
          </w:tcPr>
          <w:p>
            <w:r>
              <w:t>Process upset, isolation valves close (fail-safe)</w:t>
            </w:r>
          </w:p>
        </w:tc>
        <w:tc>
          <w:tcPr>
            <w:tcW w:type="dxa" w:w="1994"/>
          </w:tcPr>
          <w:p>
            <w:r>
              <w:t>Possible</w:t>
            </w:r>
          </w:p>
        </w:tc>
        <w:tc>
          <w:tcPr>
            <w:tcW w:type="dxa" w:w="1994"/>
          </w:tcPr>
          <w:p>
            <w:r>
              <w:t>Low</w:t>
            </w:r>
          </w:p>
        </w:tc>
      </w:tr>
    </w:tbl>
    <w:p>
      <w:pPr>
        <w:pStyle w:val="Heading3"/>
      </w:pPr>
      <w:r>
        <w:rPr>
          <w:color w:val="1F3A68"/>
        </w:rPr>
        <w:t>B3. Engineering &amp; administrative safeguards</w:t>
      </w:r>
    </w:p>
    <w:p>
      <w:pPr>
        <w:pStyle w:val="ListBullet"/>
      </w:pPr>
      <w:r>
        <w:t>Layout: outdoor or semi-outdoor canopy with at least two open sides; minimum separation distances per NFPA 2 (2023) — ≥ 6 m from public-access edge, ≥ 8 m from building openings, ≥ 3 m from parked vehicles. Fire wall (REI-120) between PSA / storage skid and adjacent parking bays.</w:t>
      </w:r>
    </w:p>
    <w:p>
      <w:pPr>
        <w:pStyle w:val="ListBullet"/>
      </w:pPr>
      <w:r>
        <w:t>Ventilation: natural cross-ventilation ≥ 1 % of canopy roof area; supplementary forced extraction at high level (≥ 12 air changes per hour) to prevent H₂ accumulation &gt; 25 % LFL (=1 vol%).</w:t>
      </w:r>
    </w:p>
    <w:p>
      <w:pPr>
        <w:pStyle w:val="ListBullet"/>
      </w:pPr>
      <w:r>
        <w:t>Detection: redundant H₂ point detectors (catalytic + thermal-conductivity) at the soffit, ultrasonic leak detectors near compressors, UV/IR flame detectors at storage. Two-out-of-three voting triggers trip at 20 % LFL.</w:t>
      </w:r>
    </w:p>
    <w:p>
      <w:pPr>
        <w:pStyle w:val="ListBullet"/>
      </w:pPr>
      <w:r>
        <w:t>Safety Instrumented System (SIL-2): fail-safe isolation valves on town-gas inlet, H₂ outlet, storage and dispenser; automatic depressurisation to a remote vent stack (≥ 4 m above roof) on confirmed leak/fire.</w:t>
      </w:r>
    </w:p>
    <w:p>
      <w:pPr>
        <w:pStyle w:val="ListBullet"/>
      </w:pPr>
      <w:r>
        <w:t>Mechanical integrity: all wetted parts in 316L SS (low-strength grade to resist embrittlement); double-block-and-bleed on the town-gas / H₂ interface; non-return valves to prevent back-feed; hoses replaced on time-in-service or cycle count.</w:t>
      </w:r>
    </w:p>
    <w:p>
      <w:pPr>
        <w:pStyle w:val="ListBullet"/>
      </w:pPr>
      <w:r>
        <w:t>Hazardous-area classification (ATEX / IEC 60079): Zone 1 within 1 m of all H₂ joints, Zone 2 within 3 m; explosion-proof Ex-d luminaires, intrinsically-safe instruments; bonding and earthing of all metallic parts; lightning protection.</w:t>
      </w:r>
    </w:p>
    <w:p>
      <w:pPr>
        <w:pStyle w:val="ListBullet"/>
      </w:pPr>
      <w:r>
        <w:t>Pressure relief: thermally-activated PRDs on every storage cylinder, vented through dedicated vent stack with flashback arrestor; PSV on PSA receivers sized for credible heat-input case.</w:t>
      </w:r>
    </w:p>
    <w:p>
      <w:pPr>
        <w:pStyle w:val="ListBullet"/>
      </w:pPr>
      <w:r>
        <w:t>Vehicle protection: bollards (kerb-mounted, K-12 rated) around dispenser and storage; CCTV; dispenser nozzle with automatic break-away coupling.</w:t>
      </w:r>
    </w:p>
    <w:p>
      <w:pPr>
        <w:pStyle w:val="ListBullet"/>
      </w:pPr>
      <w:r>
        <w:t>Operational: read-only HMI for residents; QR-coded ID + RFID authorisation; geofenced shut-off if smoking / open flame detected; mandatory training for housing-estate maintenance staff; permit-to-work for hot-work / breaking containment.</w:t>
      </w:r>
    </w:p>
    <w:p>
      <w:pPr>
        <w:pStyle w:val="ListBullet"/>
      </w:pPr>
      <w:r>
        <w:t>Documentation: site-specific HAZOP + LOPA, Pre-Startup Safety Review (PSSR), Management of Change (MOC), incident reporting under EMSD Gas Safety Ordinance Cap. 51.</w:t>
      </w:r>
    </w:p>
    <w:p>
      <w:pPr>
        <w:pStyle w:val="Heading3"/>
      </w:pPr>
      <w:r>
        <w:rPr>
          <w:color w:val="1F3A68"/>
        </w:rPr>
        <w:t>B4. Credible worst-case scenario and emergency response</w:t>
      </w:r>
    </w:p>
    <w:p>
      <w:r>
        <w:rPr>
          <w:b w:val="0"/>
          <w:i w:val="0"/>
          <w:sz w:val="22"/>
        </w:rPr>
        <w:t>Credible worst case (CWC): catastrophic failure of one 95 L composite cylinder at 950 bar full of H₂ (≈ 6 kg H₂, ≈ 0.85 GJ). Outcomes envelope:</w:t>
      </w:r>
    </w:p>
    <w:p>
      <w:pPr>
        <w:pStyle w:val="ListBullet"/>
      </w:pPr>
      <w:r>
        <w:t>Immediate ignited release → vertical jet fire ~6–8 m flame length; thermal radiation 12.5 kW/m² endpoint at ≈ 6 m → exclusion zone radius 8 m maintained by layout.</w:t>
      </w:r>
    </w:p>
    <w:p>
      <w:pPr>
        <w:pStyle w:val="ListBullet"/>
      </w:pPr>
      <w:r>
        <w:t>Delayed ignition with confined accumulation → deflagration peak overpressure ≈ 0.3 bar at 5 m, dropping below 0.05 bar at 15 m (structural-damage threshold). Achieved mitigation through ventilation and explosion-relief louvers in canopy.</w:t>
      </w:r>
    </w:p>
    <w:p>
      <w:pPr>
        <w:pStyle w:val="ListBullet"/>
      </w:pPr>
      <w:r>
        <w:t>Unignited release → buoyant dispersion above roof line; ≤ 30 s to reach upper LFL contour, well below combustion-air domain at ground level.</w:t>
      </w:r>
    </w:p>
    <w:p>
      <w:r>
        <w:rPr>
          <w:b w:val="0"/>
          <w:i w:val="0"/>
          <w:sz w:val="22"/>
        </w:rPr>
        <w:t>Mitigation hierarchy applied: inherent (small inventory per cylinder, 100 kg total cap), passive (composite-wrapped vessels with TPRD), active (SIS isolation in &lt; 1 s, blow-down to vent stack within 90 s), procedural (training, drills).</w:t>
      </w:r>
    </w:p>
    <w:p>
      <w:pPr>
        <w:pStyle w:val="Heading3"/>
      </w:pPr>
      <w:r>
        <w:rPr>
          <w:color w:val="1F3A68"/>
        </w:rPr>
        <w:t>B5. Emergency Response Plan (ERP) — key elements</w:t>
      </w:r>
    </w:p>
    <w:p>
      <w:pPr>
        <w:pStyle w:val="ListBullet"/>
      </w:pPr>
      <w:r>
        <w:t>Tier-1 (operator): automatic SIS trip — isolation + venting + sirens + strobe; SMS / app alert to estate manager and Towngas control room.</w:t>
      </w:r>
    </w:p>
    <w:p>
      <w:pPr>
        <w:pStyle w:val="ListBullet"/>
      </w:pPr>
      <w:r>
        <w:t>Tier-2 (on-site): evacuation of car-park within 60 s using lit egress paths; activation of fire-suppression for ignited release (water curtain to cool adjacent surfaces — do NOT extinguish a controlled jet fire before isolation is confirmed).</w:t>
      </w:r>
    </w:p>
    <w:p>
      <w:pPr>
        <w:pStyle w:val="ListBullet"/>
      </w:pPr>
      <w:r>
        <w:t>Tier-3 (external): notification to Fire Services Department (FSD) and EMSD; pre-agreed access route for fire appliances; ≥ 100 m cordon for ignited storage event.</w:t>
      </w:r>
    </w:p>
    <w:p>
      <w:pPr>
        <w:pStyle w:val="ListBullet"/>
      </w:pPr>
      <w:r>
        <w:t>Post-incident: lock-out / tag-out, third-party root-cause analysis, regulator submission within 24 h per Gas Safety (Installation and Use) Regulations.</w:t>
      </w:r>
    </w:p>
    <w:p>
      <w:pPr>
        <w:pStyle w:val="ListBullet"/>
      </w:pPr>
      <w:r>
        <w:t>Drills: full-scale exercise with FSD annually; quarterly tabletop with estate management; pre-commissioning and re-validation every 5 yr.</w:t>
      </w:r>
    </w:p>
    <w:p>
      <w:pPr>
        <w:pStyle w:val="ListBullet"/>
      </w:pPr>
      <w:r>
        <w:t>Public communication: pre-launch information to residents — what hydrogen is, how to recognise an alarm, evacuation route, no smoking radius. Posters in 中/EN at lift lobbies and car-park entrances.</w:t>
      </w:r>
    </w:p>
    <w:p>
      <w:pPr>
        <w:pStyle w:val="Heading3"/>
      </w:pPr>
      <w:r>
        <w:rPr>
          <w:color w:val="1F3A68"/>
        </w:rPr>
        <w:t>B6. Overall safety conclusion</w:t>
      </w:r>
    </w:p>
    <w:p>
      <w:r>
        <w:rPr>
          <w:b w:val="0"/>
          <w:i w:val="0"/>
          <w:sz w:val="22"/>
        </w:rPr>
        <w:t>With inherent design choices (small distributed H₂ inventory, semi-outdoor location, PSA/compressor separation, composite vessels with TPRDs), engineered safeguards (SIL-2 SIS, detection, ventilation, vent stack), and a structured ERP integrated with FSD and EMSD, the residual risk of fatality at the boundary of the car-park can be demonstrated to be Tolerable / ALARP (≤ 1×10⁻⁶ per year individual risk). The proposal is judged acceptable for pilot deployment subject to formal HAZOP, LOPA and Quantitative Risk Assessment (QRA) submission to the regulator prior to commissioning.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