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3B4A2" w14:textId="77777777" w:rsidR="000E154C" w:rsidRDefault="000E154C"/>
    <w:p w14:paraId="54974552" w14:textId="14096423" w:rsidR="00F61197" w:rsidRDefault="00092B2D">
      <w:pPr>
        <w:rPr>
          <w:b/>
          <w:bCs/>
        </w:rPr>
      </w:pPr>
      <w:r>
        <w:rPr>
          <w:b/>
          <w:bCs/>
        </w:rPr>
        <w:t>1.</w:t>
      </w:r>
      <w:r w:rsidR="008E3EC7">
        <w:rPr>
          <w:b/>
          <w:bCs/>
        </w:rPr>
        <w:t xml:space="preserve"> </w:t>
      </w:r>
      <w:r w:rsidR="00F61197">
        <w:rPr>
          <w:b/>
          <w:bCs/>
        </w:rPr>
        <w:t>Introduction</w:t>
      </w:r>
    </w:p>
    <w:p w14:paraId="07D9F01C" w14:textId="77777777" w:rsidR="001960B1" w:rsidRDefault="001960B1">
      <w:pPr>
        <w:rPr>
          <w:b/>
          <w:bCs/>
        </w:rPr>
      </w:pPr>
    </w:p>
    <w:p w14:paraId="14945253" w14:textId="54C954A8" w:rsidR="006E632D" w:rsidRPr="00F27C2B" w:rsidRDefault="00FB7F6A" w:rsidP="001960B1">
      <w:pPr>
        <w:ind w:firstLine="720"/>
      </w:pPr>
      <w:r w:rsidRPr="00FB7F6A">
        <w:rPr>
          <w:rFonts w:ascii="AppleSystemUIFont" w:hAnsi="AppleSystemUIFont" w:cs="AppleSystemUIFont"/>
          <w:kern w:val="0"/>
        </w:rPr>
        <w:t xml:space="preserve">With an unsteady economic market, an increase in unemployment, and extreme measures affecting the average </w:t>
      </w:r>
      <w:r w:rsidR="001960B1" w:rsidRPr="00FB7F6A">
        <w:rPr>
          <w:rFonts w:ascii="AppleSystemUIFont" w:hAnsi="AppleSystemUIFont" w:cs="AppleSystemUIFont"/>
          <w:kern w:val="0"/>
        </w:rPr>
        <w:t>working</w:t>
      </w:r>
      <w:r w:rsidR="001A1E44">
        <w:rPr>
          <w:rFonts w:ascii="AppleSystemUIFont" w:hAnsi="AppleSystemUIFont" w:cs="AppleSystemUIFont"/>
          <w:kern w:val="0"/>
        </w:rPr>
        <w:t>-</w:t>
      </w:r>
      <w:r w:rsidR="001960B1" w:rsidRPr="00FB7F6A">
        <w:rPr>
          <w:rFonts w:ascii="AppleSystemUIFont" w:hAnsi="AppleSystemUIFont" w:cs="AppleSystemUIFont"/>
          <w:kern w:val="0"/>
        </w:rPr>
        <w:t>class</w:t>
      </w:r>
      <w:r w:rsidRPr="00FB7F6A">
        <w:rPr>
          <w:rFonts w:ascii="AppleSystemUIFont" w:hAnsi="AppleSystemUIFont" w:cs="AppleSystemUIFont"/>
          <w:kern w:val="0"/>
        </w:rPr>
        <w:t xml:space="preserve"> members in the United States right now, our group want</w:t>
      </w:r>
      <w:r w:rsidR="00CD03C1">
        <w:rPr>
          <w:rFonts w:ascii="AppleSystemUIFont" w:hAnsi="AppleSystemUIFont" w:cs="AppleSystemUIFont"/>
          <w:kern w:val="0"/>
        </w:rPr>
        <w:t>ed</w:t>
      </w:r>
      <w:r w:rsidRPr="00FB7F6A">
        <w:rPr>
          <w:rFonts w:ascii="AppleSystemUIFont" w:hAnsi="AppleSystemUIFont" w:cs="AppleSystemUIFont"/>
          <w:kern w:val="0"/>
        </w:rPr>
        <w:t xml:space="preserve"> to </w:t>
      </w:r>
      <w:r w:rsidR="001960B1" w:rsidRPr="00FB7F6A">
        <w:rPr>
          <w:rFonts w:ascii="AppleSystemUIFont" w:hAnsi="AppleSystemUIFont" w:cs="AppleSystemUIFont"/>
          <w:kern w:val="0"/>
        </w:rPr>
        <w:t>investigate</w:t>
      </w:r>
      <w:r w:rsidRPr="00FB7F6A">
        <w:rPr>
          <w:rFonts w:ascii="AppleSystemUIFont" w:hAnsi="AppleSystemUIFont" w:cs="AppleSystemUIFont"/>
          <w:kern w:val="0"/>
        </w:rPr>
        <w:t xml:space="preserve"> </w:t>
      </w:r>
      <w:r w:rsidR="00073B06">
        <w:rPr>
          <w:rFonts w:ascii="AppleSystemUIFont" w:hAnsi="AppleSystemUIFont" w:cs="AppleSystemUIFont"/>
          <w:kern w:val="0"/>
        </w:rPr>
        <w:t xml:space="preserve">the </w:t>
      </w:r>
      <w:r w:rsidRPr="00FB7F6A">
        <w:rPr>
          <w:rFonts w:ascii="AppleSystemUIFont" w:hAnsi="AppleSystemUIFont" w:cs="AppleSystemUIFont"/>
          <w:kern w:val="0"/>
        </w:rPr>
        <w:t xml:space="preserve">intersection between economics via the S&amp;P 500, and the unemployment rates in years </w:t>
      </w:r>
      <w:r w:rsidR="00917116">
        <w:rPr>
          <w:rFonts w:ascii="AppleSystemUIFont" w:hAnsi="AppleSystemUIFont" w:cs="AppleSystemUIFont"/>
          <w:kern w:val="0"/>
        </w:rPr>
        <w:t>2005</w:t>
      </w:r>
      <w:r w:rsidR="00073B06">
        <w:rPr>
          <w:rFonts w:ascii="AppleSystemUIFont" w:hAnsi="AppleSystemUIFont" w:cs="AppleSystemUIFont"/>
          <w:kern w:val="0"/>
        </w:rPr>
        <w:t xml:space="preserve"> and </w:t>
      </w:r>
      <w:r w:rsidR="00917116">
        <w:rPr>
          <w:rFonts w:ascii="AppleSystemUIFont" w:hAnsi="AppleSystemUIFont" w:cs="AppleSystemUIFont"/>
          <w:kern w:val="0"/>
        </w:rPr>
        <w:t>beyond (to present day)</w:t>
      </w:r>
      <w:r w:rsidRPr="00FB7F6A">
        <w:rPr>
          <w:rFonts w:ascii="AppleSystemUIFont" w:hAnsi="AppleSystemUIFont" w:cs="AppleSystemUIFont"/>
          <w:kern w:val="0"/>
        </w:rPr>
        <w:t xml:space="preserve">, to see if there is a measurable relationship between stock market performance and the job market. By analyzing historical data on the S&amp;P 500 index alongside national unemployment rates, our group aims to determine whether shifts in the stock market tend to precede, follow, or move concurrently with changes in unemployment. This intersection is particularly relevant today, as economic volatility directly impacts both corporate stability and individual livelihoods. </w:t>
      </w:r>
    </w:p>
    <w:p w14:paraId="06B61CCF" w14:textId="77777777" w:rsidR="006E632D" w:rsidRDefault="006E632D" w:rsidP="001960B1">
      <w:pPr>
        <w:ind w:firstLine="720"/>
        <w:rPr>
          <w:rFonts w:ascii="AppleSystemUIFont" w:hAnsi="AppleSystemUIFont" w:cs="AppleSystemUIFont"/>
          <w:kern w:val="0"/>
        </w:rPr>
      </w:pPr>
    </w:p>
    <w:p w14:paraId="3144AA8A" w14:textId="1F7743D7" w:rsidR="00F61197" w:rsidRDefault="006E632D" w:rsidP="001960B1">
      <w:pPr>
        <w:ind w:firstLine="720"/>
        <w:rPr>
          <w:rFonts w:ascii="AppleSystemUIFont" w:hAnsi="AppleSystemUIFont" w:cs="AppleSystemUIFont"/>
          <w:kern w:val="0"/>
        </w:rPr>
      </w:pPr>
      <w:r>
        <w:rPr>
          <w:rFonts w:ascii="AppleSystemUIFont" w:hAnsi="AppleSystemUIFont" w:cs="AppleSystemUIFont"/>
          <w:kern w:val="0"/>
        </w:rPr>
        <w:t>In this project, o</w:t>
      </w:r>
      <w:r w:rsidR="00FB7F6A" w:rsidRPr="00FB7F6A">
        <w:rPr>
          <w:rFonts w:ascii="AppleSystemUIFont" w:hAnsi="AppleSystemUIFont" w:cs="AppleSystemUIFont"/>
          <w:kern w:val="0"/>
        </w:rPr>
        <w:t>ur goal is to assess whether trends in the S&amp;P 500 can serve as an early indicator of labor market stress</w:t>
      </w:r>
      <w:r w:rsidR="00004A32">
        <w:rPr>
          <w:rFonts w:ascii="AppleSystemUIFont" w:hAnsi="AppleSystemUIFont" w:cs="AppleSystemUIFont"/>
          <w:kern w:val="0"/>
        </w:rPr>
        <w:t xml:space="preserve"> (</w:t>
      </w:r>
      <w:r w:rsidR="002675FE">
        <w:rPr>
          <w:rFonts w:ascii="AppleSystemUIFont" w:hAnsi="AppleSystemUIFont" w:cs="AppleSystemUIFont"/>
          <w:kern w:val="0"/>
        </w:rPr>
        <w:t>unemployment</w:t>
      </w:r>
      <w:r w:rsidR="00004A32">
        <w:rPr>
          <w:rFonts w:ascii="AppleSystemUIFont" w:hAnsi="AppleSystemUIFont" w:cs="AppleSystemUIFont"/>
          <w:kern w:val="0"/>
        </w:rPr>
        <w:t>)</w:t>
      </w:r>
      <w:r w:rsidR="00FB7F6A" w:rsidRPr="00FB7F6A">
        <w:rPr>
          <w:rFonts w:ascii="AppleSystemUIFont" w:hAnsi="AppleSystemUIFont" w:cs="AppleSystemUIFont"/>
          <w:kern w:val="0"/>
        </w:rPr>
        <w:t>, or vice versa, and to explore how these insights could inform both policy decisions and personal financial planning.</w:t>
      </w:r>
    </w:p>
    <w:p w14:paraId="01236AB8" w14:textId="77777777" w:rsidR="00F61197" w:rsidRDefault="00F61197">
      <w:pPr>
        <w:rPr>
          <w:b/>
          <w:bCs/>
        </w:rPr>
      </w:pPr>
    </w:p>
    <w:p w14:paraId="21FEA440" w14:textId="431C433D" w:rsidR="00F61197" w:rsidRDefault="00092B2D">
      <w:pPr>
        <w:rPr>
          <w:b/>
          <w:bCs/>
        </w:rPr>
      </w:pPr>
      <w:r>
        <w:rPr>
          <w:b/>
          <w:bCs/>
        </w:rPr>
        <w:t>2.</w:t>
      </w:r>
      <w:r w:rsidR="00F61197">
        <w:rPr>
          <w:b/>
          <w:bCs/>
        </w:rPr>
        <w:t>Data</w:t>
      </w:r>
    </w:p>
    <w:p w14:paraId="528547E9" w14:textId="77777777" w:rsidR="00EA3790" w:rsidRDefault="002E0085" w:rsidP="002E0085">
      <w:pPr>
        <w:ind w:firstLine="720"/>
        <w:rPr>
          <w:rFonts w:eastAsia="Times New Roman" w:cstheme="minorHAnsi"/>
          <w:kern w:val="0"/>
          <w14:ligatures w14:val="none"/>
        </w:rPr>
      </w:pPr>
      <w:r w:rsidRPr="008B0A35">
        <w:rPr>
          <w:rFonts w:eastAsia="Times New Roman" w:cstheme="minorHAnsi"/>
          <w:kern w:val="0"/>
          <w14:ligatures w14:val="none"/>
        </w:rPr>
        <w:t xml:space="preserve">To pursue this internal inquiry, we gathered data from two key sources: </w:t>
      </w:r>
      <w:r w:rsidR="00EA3790">
        <w:rPr>
          <w:rFonts w:eastAsia="Times New Roman" w:cstheme="minorHAnsi"/>
          <w:kern w:val="0"/>
          <w14:ligatures w14:val="none"/>
        </w:rPr>
        <w:t xml:space="preserve"> S&amp;P 500 Trends from </w:t>
      </w:r>
      <w:r w:rsidRPr="008B0A35">
        <w:rPr>
          <w:rFonts w:eastAsia="Times New Roman" w:cstheme="minorHAnsi"/>
          <w:kern w:val="0"/>
          <w14:ligatures w14:val="none"/>
        </w:rPr>
        <w:t>Kaggle and the U.S. Bureau of Labor Statistics (BLS). For unemployment trends</w:t>
      </w:r>
      <w:r w:rsidR="00EA3790">
        <w:rPr>
          <w:rFonts w:eastAsia="Times New Roman" w:cstheme="minorHAnsi"/>
          <w:kern w:val="0"/>
          <w14:ligatures w14:val="none"/>
        </w:rPr>
        <w:t>.</w:t>
      </w:r>
    </w:p>
    <w:p w14:paraId="6FD24E85" w14:textId="77777777" w:rsidR="00B90214" w:rsidRDefault="00B90214" w:rsidP="00B90214">
      <w:pPr>
        <w:rPr>
          <w:rFonts w:eastAsia="Times New Roman" w:cstheme="minorHAnsi"/>
          <w:kern w:val="0"/>
          <w14:ligatures w14:val="none"/>
        </w:rPr>
      </w:pPr>
    </w:p>
    <w:p w14:paraId="41220CBA" w14:textId="0627A2C2" w:rsidR="00EA3790" w:rsidRDefault="00EA3790" w:rsidP="00092B2D">
      <w:pPr>
        <w:rPr>
          <w:rFonts w:eastAsia="Times New Roman" w:cstheme="minorHAnsi"/>
          <w:i/>
          <w:iCs/>
          <w:kern w:val="0"/>
          <w14:ligatures w14:val="none"/>
        </w:rPr>
      </w:pPr>
      <w:r>
        <w:rPr>
          <w:rFonts w:eastAsia="Times New Roman" w:cstheme="minorHAnsi"/>
          <w:i/>
          <w:iCs/>
          <w:kern w:val="0"/>
          <w14:ligatures w14:val="none"/>
        </w:rPr>
        <w:t xml:space="preserve">2.1 </w:t>
      </w:r>
      <w:r w:rsidR="00092B2D">
        <w:rPr>
          <w:rFonts w:eastAsia="Times New Roman" w:cstheme="minorHAnsi"/>
          <w:i/>
          <w:iCs/>
          <w:kern w:val="0"/>
          <w14:ligatures w14:val="none"/>
        </w:rPr>
        <w:t>Unemployment Rates</w:t>
      </w:r>
    </w:p>
    <w:p w14:paraId="0D6D4850" w14:textId="5385FF57" w:rsidR="00B90214" w:rsidRPr="00EA3790" w:rsidRDefault="003E29B3" w:rsidP="00092B2D">
      <w:pPr>
        <w:rPr>
          <w:rFonts w:eastAsia="Times New Roman" w:cstheme="minorHAnsi"/>
          <w:i/>
          <w:iCs/>
          <w:kern w:val="0"/>
          <w14:ligatures w14:val="none"/>
        </w:rPr>
      </w:pPr>
      <w:r>
        <w:rPr>
          <w:rFonts w:eastAsia="Times New Roman" w:cstheme="minorHAnsi"/>
          <w:i/>
          <w:iCs/>
          <w:kern w:val="0"/>
          <w14:ligatures w14:val="none"/>
        </w:rPr>
        <w:t xml:space="preserve"> </w:t>
      </w:r>
    </w:p>
    <w:p w14:paraId="7DB372FD" w14:textId="661D4105" w:rsidR="002E0085" w:rsidRDefault="002675FE" w:rsidP="002E0085">
      <w:pPr>
        <w:ind w:firstLine="720"/>
        <w:rPr>
          <w:rFonts w:eastAsia="Times New Roman" w:cstheme="minorHAnsi"/>
          <w:kern w:val="0"/>
          <w14:ligatures w14:val="none"/>
        </w:rPr>
      </w:pPr>
      <w:r>
        <w:rPr>
          <w:rFonts w:eastAsia="Times New Roman" w:cstheme="minorHAnsi"/>
          <w:kern w:val="0"/>
          <w14:ligatures w14:val="none"/>
        </w:rPr>
        <w:t>W</w:t>
      </w:r>
      <w:r w:rsidR="002E0085" w:rsidRPr="008B0A35">
        <w:rPr>
          <w:rFonts w:eastAsia="Times New Roman" w:cstheme="minorHAnsi"/>
          <w:kern w:val="0"/>
          <w14:ligatures w14:val="none"/>
        </w:rPr>
        <w:t xml:space="preserve">e utilized an interactive graph published on the BLS website titled “Civilian Unemployment Rate.” Unlike past class projects where we scraped entire websites, this time we focused specifically on scraping the HTML content related to the graph alone. This allowed us to extract the necessary data without the extra overhead from dropdowns, embedded links, and unrelated content. Since the BLS compiles data from federal records and national census reports, our dataset was complete and contained no missing or null (NaN) values. To prepare it for analysis, we reformatted data types and created a new column, Unemployment Change, which calculated the </w:t>
      </w:r>
      <w:r w:rsidR="007330E3">
        <w:rPr>
          <w:rFonts w:eastAsia="Times New Roman" w:cstheme="minorHAnsi"/>
          <w:kern w:val="0"/>
          <w14:ligatures w14:val="none"/>
        </w:rPr>
        <w:t>month-over-month</w:t>
      </w:r>
      <w:r w:rsidR="002E0085" w:rsidRPr="008B0A35">
        <w:rPr>
          <w:rFonts w:eastAsia="Times New Roman" w:cstheme="minorHAnsi"/>
          <w:kern w:val="0"/>
          <w14:ligatures w14:val="none"/>
        </w:rPr>
        <w:t xml:space="preserve"> difference in unemployment rates. </w:t>
      </w:r>
      <w:r w:rsidR="001405A5">
        <w:rPr>
          <w:rFonts w:eastAsia="Times New Roman" w:cstheme="minorHAnsi"/>
          <w:kern w:val="0"/>
          <w14:ligatures w14:val="none"/>
        </w:rPr>
        <w:t>This data was put into a</w:t>
      </w:r>
      <w:r w:rsidR="005C3032">
        <w:rPr>
          <w:rFonts w:eastAsia="Times New Roman" w:cstheme="minorHAnsi"/>
          <w:kern w:val="0"/>
          <w14:ligatures w14:val="none"/>
        </w:rPr>
        <w:t xml:space="preserve"> </w:t>
      </w:r>
      <w:r w:rsidR="0007125C">
        <w:rPr>
          <w:rFonts w:eastAsia="Times New Roman" w:cstheme="minorHAnsi"/>
          <w:kern w:val="0"/>
          <w14:ligatures w14:val="none"/>
        </w:rPr>
        <w:t>data frame</w:t>
      </w:r>
      <w:r w:rsidR="005C3032">
        <w:rPr>
          <w:rFonts w:eastAsia="Times New Roman" w:cstheme="minorHAnsi"/>
          <w:kern w:val="0"/>
          <w14:ligatures w14:val="none"/>
        </w:rPr>
        <w:t xml:space="preserve"> labeled ‘unemployment_df’</w:t>
      </w:r>
      <w:r w:rsidR="002E0085" w:rsidRPr="008B0A35">
        <w:rPr>
          <w:rFonts w:eastAsia="Times New Roman" w:cstheme="minorHAnsi"/>
          <w:kern w:val="0"/>
          <w14:ligatures w14:val="none"/>
        </w:rPr>
        <w:t xml:space="preserve"> The final structure of this dataset is detailed in Table 1: Data Dictionary.</w:t>
      </w:r>
    </w:p>
    <w:p w14:paraId="0B619CD0" w14:textId="77777777" w:rsidR="00092B2D" w:rsidRDefault="00092B2D" w:rsidP="00092B2D">
      <w:pPr>
        <w:rPr>
          <w:rFonts w:eastAsia="Times New Roman" w:cstheme="minorHAnsi"/>
          <w:kern w:val="0"/>
          <w14:ligatures w14:val="none"/>
        </w:rPr>
      </w:pPr>
    </w:p>
    <w:p w14:paraId="0324FDF5" w14:textId="06E9C947" w:rsidR="00092B2D" w:rsidRPr="008B0A35" w:rsidRDefault="00092B2D" w:rsidP="00092B2D">
      <w:pPr>
        <w:rPr>
          <w:b/>
          <w:bCs/>
          <w:i/>
          <w:iCs/>
        </w:rPr>
      </w:pPr>
      <w:r w:rsidRPr="00E668AF">
        <w:rPr>
          <w:rFonts w:eastAsia="Times New Roman" w:cstheme="minorHAnsi"/>
          <w:i/>
          <w:iCs/>
          <w:kern w:val="0"/>
          <w14:ligatures w14:val="none"/>
        </w:rPr>
        <w:t>2.2 S</w:t>
      </w:r>
      <w:r w:rsidR="00EB3D30" w:rsidRPr="00E668AF">
        <w:rPr>
          <w:rFonts w:eastAsia="Times New Roman" w:cstheme="minorHAnsi"/>
          <w:i/>
          <w:iCs/>
          <w:kern w:val="0"/>
          <w14:ligatures w14:val="none"/>
        </w:rPr>
        <w:t>&amp;</w:t>
      </w:r>
      <w:r w:rsidR="00D7305E" w:rsidRPr="00E668AF">
        <w:rPr>
          <w:rFonts w:eastAsia="Times New Roman" w:cstheme="minorHAnsi"/>
          <w:i/>
          <w:iCs/>
          <w:kern w:val="0"/>
          <w14:ligatures w14:val="none"/>
        </w:rPr>
        <w:t xml:space="preserve">P </w:t>
      </w:r>
      <w:r w:rsidR="00D7305E">
        <w:rPr>
          <w:rFonts w:eastAsia="Times New Roman" w:cstheme="minorHAnsi"/>
          <w:i/>
          <w:iCs/>
          <w:kern w:val="0"/>
          <w14:ligatures w14:val="none"/>
        </w:rPr>
        <w:t>500</w:t>
      </w:r>
      <w:r w:rsidR="00B90214">
        <w:rPr>
          <w:rFonts w:eastAsia="Times New Roman" w:cstheme="minorHAnsi"/>
          <w:i/>
          <w:iCs/>
          <w:kern w:val="0"/>
          <w14:ligatures w14:val="none"/>
        </w:rPr>
        <w:t xml:space="preserve"> </w:t>
      </w:r>
      <w:r w:rsidR="00E668AF" w:rsidRPr="00E668AF">
        <w:rPr>
          <w:rFonts w:eastAsia="Times New Roman" w:cstheme="minorHAnsi"/>
          <w:i/>
          <w:iCs/>
          <w:kern w:val="0"/>
          <w14:ligatures w14:val="none"/>
        </w:rPr>
        <w:t>Trends</w:t>
      </w:r>
    </w:p>
    <w:p w14:paraId="7875145F" w14:textId="72B9B4C0" w:rsidR="00175866" w:rsidRDefault="002E0085" w:rsidP="002E0085">
      <w:pPr>
        <w:spacing w:before="100" w:beforeAutospacing="1" w:after="100" w:afterAutospacing="1"/>
        <w:ind w:firstLine="720"/>
        <w:rPr>
          <w:rFonts w:eastAsia="Times New Roman" w:cstheme="minorHAnsi"/>
          <w:kern w:val="0"/>
          <w14:ligatures w14:val="none"/>
        </w:rPr>
      </w:pPr>
      <w:r w:rsidRPr="008B0A35">
        <w:rPr>
          <w:rFonts w:eastAsia="Times New Roman" w:cstheme="minorHAnsi"/>
          <w:kern w:val="0"/>
          <w14:ligatures w14:val="none"/>
        </w:rPr>
        <w:t>For the economic side of our analysis, we sourced a dataset from Kaggle titled "S&amp;P 500 SPY Daily Price History</w:t>
      </w:r>
      <w:r w:rsidRPr="008B0A35">
        <w:rPr>
          <w:rFonts w:ascii="Apple Color Emoji" w:eastAsia="Times New Roman" w:hAnsi="Apple Color Emoji" w:cs="Apple Color Emoji"/>
          <w:kern w:val="0"/>
          <w14:ligatures w14:val="none"/>
        </w:rPr>
        <w:t>🕵️</w:t>
      </w:r>
      <w:r w:rsidRPr="008B0A35">
        <w:rPr>
          <w:rFonts w:eastAsia="Times New Roman" w:cstheme="minorHAnsi"/>
          <w:kern w:val="0"/>
          <w14:ligatures w14:val="none"/>
        </w:rPr>
        <w:t xml:space="preserve">", contributed by user “GK.” The dataset, referred to as spy.csv in our code, includes over 30 years of daily price data ranging from January 1993 to April 2025. With its most recent update on May 3rd, 2025, the dataset is current and free of missing values. Our cleaning process involved converting the Date column to datetime format and ensuring that all numerical variables were stored as floats. Additionally, we engineered a new column, Close Change, to represent the </w:t>
      </w:r>
      <w:r w:rsidR="007330E3" w:rsidRPr="008B0A35">
        <w:rPr>
          <w:rFonts w:eastAsia="Times New Roman" w:cstheme="minorHAnsi"/>
          <w:kern w:val="0"/>
          <w14:ligatures w14:val="none"/>
        </w:rPr>
        <w:t>month</w:t>
      </w:r>
      <w:r w:rsidR="007330E3">
        <w:rPr>
          <w:rFonts w:eastAsia="Times New Roman" w:cstheme="minorHAnsi"/>
          <w:kern w:val="0"/>
          <w14:ligatures w14:val="none"/>
        </w:rPr>
        <w:t>-over-month</w:t>
      </w:r>
      <w:r w:rsidRPr="008B0A35">
        <w:rPr>
          <w:rFonts w:eastAsia="Times New Roman" w:cstheme="minorHAnsi"/>
          <w:kern w:val="0"/>
          <w14:ligatures w14:val="none"/>
        </w:rPr>
        <w:t xml:space="preserve"> change in the closing price of the S&amp;P 500 </w:t>
      </w:r>
    </w:p>
    <w:p w14:paraId="162547A6" w14:textId="77777777" w:rsidR="00175866" w:rsidRDefault="00175866" w:rsidP="00175866">
      <w:pPr>
        <w:spacing w:before="100" w:beforeAutospacing="1" w:after="100" w:afterAutospacing="1"/>
        <w:rPr>
          <w:rFonts w:eastAsia="Times New Roman" w:cstheme="minorHAnsi"/>
          <w:kern w:val="0"/>
          <w14:ligatures w14:val="none"/>
        </w:rPr>
      </w:pPr>
    </w:p>
    <w:p w14:paraId="684F3C6F" w14:textId="1D3AB63D" w:rsidR="002E0085" w:rsidRDefault="002E0085" w:rsidP="00175866">
      <w:pPr>
        <w:spacing w:before="100" w:beforeAutospacing="1" w:after="100" w:afterAutospacing="1"/>
        <w:rPr>
          <w:rFonts w:eastAsia="Times New Roman" w:cstheme="minorHAnsi"/>
          <w:kern w:val="0"/>
          <w14:ligatures w14:val="none"/>
        </w:rPr>
      </w:pPr>
      <w:r w:rsidRPr="008B0A35">
        <w:rPr>
          <w:rFonts w:eastAsia="Times New Roman" w:cstheme="minorHAnsi"/>
          <w:kern w:val="0"/>
          <w14:ligatures w14:val="none"/>
        </w:rPr>
        <w:t>index.</w:t>
      </w:r>
      <w:r w:rsidR="003E29B3">
        <w:rPr>
          <w:rFonts w:eastAsia="Times New Roman" w:cstheme="minorHAnsi"/>
          <w:kern w:val="0"/>
          <w14:ligatures w14:val="none"/>
        </w:rPr>
        <w:t xml:space="preserve"> The final data was </w:t>
      </w:r>
      <w:r w:rsidR="00CC5F7F">
        <w:rPr>
          <w:rFonts w:eastAsia="Times New Roman" w:cstheme="minorHAnsi"/>
          <w:kern w:val="0"/>
          <w14:ligatures w14:val="none"/>
        </w:rPr>
        <w:t xml:space="preserve">put into a </w:t>
      </w:r>
      <w:r w:rsidR="007330E3">
        <w:rPr>
          <w:rFonts w:eastAsia="Times New Roman" w:cstheme="minorHAnsi"/>
          <w:kern w:val="0"/>
          <w14:ligatures w14:val="none"/>
        </w:rPr>
        <w:t>data</w:t>
      </w:r>
      <w:r w:rsidR="008414E6">
        <w:rPr>
          <w:rFonts w:eastAsia="Times New Roman" w:cstheme="minorHAnsi"/>
          <w:kern w:val="0"/>
          <w14:ligatures w14:val="none"/>
        </w:rPr>
        <w:t xml:space="preserve"> frame</w:t>
      </w:r>
      <w:r w:rsidR="00CC5F7F">
        <w:rPr>
          <w:rFonts w:eastAsia="Times New Roman" w:cstheme="minorHAnsi"/>
          <w:kern w:val="0"/>
          <w14:ligatures w14:val="none"/>
        </w:rPr>
        <w:t xml:space="preserve"> labeled sp500_df.</w:t>
      </w:r>
      <w:r w:rsidR="00AE3494">
        <w:rPr>
          <w:rFonts w:eastAsia="Times New Roman" w:cstheme="minorHAnsi"/>
          <w:kern w:val="0"/>
          <w14:ligatures w14:val="none"/>
        </w:rPr>
        <w:t xml:space="preserve"> It contained 8,107</w:t>
      </w:r>
      <w:r w:rsidR="00D231F8">
        <w:rPr>
          <w:rFonts w:eastAsia="Times New Roman" w:cstheme="minorHAnsi"/>
          <w:kern w:val="0"/>
          <w14:ligatures w14:val="none"/>
        </w:rPr>
        <w:t xml:space="preserve"> observations across 11 columns.</w:t>
      </w:r>
    </w:p>
    <w:p w14:paraId="743B85E3" w14:textId="5751DCE4" w:rsidR="002E0085" w:rsidRPr="008B0A35" w:rsidRDefault="00966F02" w:rsidP="003E7642">
      <w:pPr>
        <w:spacing w:before="100" w:beforeAutospacing="1" w:after="100" w:afterAutospacing="1"/>
        <w:rPr>
          <w:rFonts w:eastAsia="Times New Roman" w:cstheme="minorHAnsi"/>
          <w:i/>
          <w:kern w:val="0"/>
          <w14:ligatures w14:val="none"/>
        </w:rPr>
      </w:pPr>
      <w:r w:rsidRPr="00B90214">
        <w:rPr>
          <w:rFonts w:eastAsia="Times New Roman" w:cstheme="minorHAnsi"/>
          <w:i/>
          <w:iCs/>
          <w:kern w:val="0"/>
          <w14:ligatures w14:val="none"/>
        </w:rPr>
        <w:t>2.3 Combin</w:t>
      </w:r>
      <w:r w:rsidR="00663A99" w:rsidRPr="00B90214">
        <w:rPr>
          <w:rFonts w:eastAsia="Times New Roman" w:cstheme="minorHAnsi"/>
          <w:i/>
          <w:iCs/>
          <w:kern w:val="0"/>
          <w14:ligatures w14:val="none"/>
        </w:rPr>
        <w:t>ing Unemployment and S</w:t>
      </w:r>
      <w:r w:rsidR="00B90214" w:rsidRPr="00B90214">
        <w:rPr>
          <w:rFonts w:eastAsia="Times New Roman" w:cstheme="minorHAnsi"/>
          <w:i/>
          <w:iCs/>
          <w:kern w:val="0"/>
          <w14:ligatures w14:val="none"/>
        </w:rPr>
        <w:t>&amp;P 500</w:t>
      </w:r>
    </w:p>
    <w:p w14:paraId="1F08DA56" w14:textId="3F4078B0" w:rsidR="009D4100" w:rsidRDefault="002E0085" w:rsidP="00B804EF">
      <w:pPr>
        <w:spacing w:before="100" w:beforeAutospacing="1" w:after="100" w:afterAutospacing="1"/>
        <w:ind w:firstLine="720"/>
        <w:rPr>
          <w:rFonts w:eastAsia="Times New Roman" w:cstheme="minorHAnsi"/>
          <w:kern w:val="0"/>
          <w14:ligatures w14:val="none"/>
        </w:rPr>
      </w:pPr>
      <w:r w:rsidRPr="008B0A35">
        <w:rPr>
          <w:rFonts w:eastAsia="Times New Roman" w:cstheme="minorHAnsi"/>
          <w:kern w:val="0"/>
          <w14:ligatures w14:val="none"/>
        </w:rPr>
        <w:t xml:space="preserve">To perform the analysis, we executed an inner join on the Date column, which both datasets shared. We ensured consistency by separately formatting the Date column in each dataset before merging them into a master </w:t>
      </w:r>
      <w:r w:rsidR="004C4466" w:rsidRPr="008B0A35">
        <w:rPr>
          <w:rFonts w:eastAsia="Times New Roman" w:cstheme="minorHAnsi"/>
          <w:kern w:val="0"/>
          <w14:ligatures w14:val="none"/>
        </w:rPr>
        <w:t>Data Frame</w:t>
      </w:r>
      <w:r w:rsidRPr="008B0A35">
        <w:rPr>
          <w:rFonts w:eastAsia="Times New Roman" w:cstheme="minorHAnsi"/>
          <w:kern w:val="0"/>
          <w14:ligatures w14:val="none"/>
        </w:rPr>
        <w:t>. This merge enabled a direct, month</w:t>
      </w:r>
      <w:r w:rsidR="007330E3">
        <w:rPr>
          <w:rFonts w:eastAsia="Times New Roman" w:cstheme="minorHAnsi"/>
          <w:kern w:val="0"/>
          <w14:ligatures w14:val="none"/>
        </w:rPr>
        <w:t>-</w:t>
      </w:r>
      <w:r w:rsidRPr="008B0A35">
        <w:rPr>
          <w:rFonts w:eastAsia="Times New Roman" w:cstheme="minorHAnsi"/>
          <w:kern w:val="0"/>
          <w14:ligatures w14:val="none"/>
        </w:rPr>
        <w:t>by</w:t>
      </w:r>
      <w:r w:rsidR="007330E3">
        <w:rPr>
          <w:rFonts w:eastAsia="Times New Roman" w:cstheme="minorHAnsi"/>
          <w:kern w:val="0"/>
          <w14:ligatures w14:val="none"/>
        </w:rPr>
        <w:t>-</w:t>
      </w:r>
      <w:r w:rsidRPr="008B0A35">
        <w:rPr>
          <w:rFonts w:eastAsia="Times New Roman" w:cstheme="minorHAnsi"/>
          <w:kern w:val="0"/>
          <w14:ligatures w14:val="none"/>
        </w:rPr>
        <w:t xml:space="preserve">month comparison of unemployment rates and stock market performance. </w:t>
      </w:r>
      <w:r w:rsidR="00E465E7">
        <w:rPr>
          <w:rFonts w:eastAsia="Times New Roman" w:cstheme="minorHAnsi"/>
          <w:kern w:val="0"/>
          <w14:ligatures w14:val="none"/>
        </w:rPr>
        <w:t xml:space="preserve">We ensured each feature in </w:t>
      </w:r>
      <w:r w:rsidR="000640A4">
        <w:rPr>
          <w:rFonts w:eastAsia="Times New Roman" w:cstheme="minorHAnsi"/>
          <w:kern w:val="0"/>
          <w14:ligatures w14:val="none"/>
        </w:rPr>
        <w:t>both</w:t>
      </w:r>
      <w:r w:rsidR="00E6128D">
        <w:rPr>
          <w:rFonts w:eastAsia="Times New Roman" w:cstheme="minorHAnsi"/>
          <w:kern w:val="0"/>
          <w14:ligatures w14:val="none"/>
        </w:rPr>
        <w:t xml:space="preserve"> </w:t>
      </w:r>
      <w:r w:rsidR="004C4466">
        <w:rPr>
          <w:rFonts w:eastAsia="Times New Roman" w:cstheme="minorHAnsi"/>
          <w:kern w:val="0"/>
          <w14:ligatures w14:val="none"/>
        </w:rPr>
        <w:t xml:space="preserve">data </w:t>
      </w:r>
      <w:r w:rsidR="007E7800">
        <w:rPr>
          <w:rFonts w:eastAsia="Times New Roman" w:cstheme="minorHAnsi"/>
          <w:kern w:val="0"/>
          <w14:ligatures w14:val="none"/>
        </w:rPr>
        <w:t>frames</w:t>
      </w:r>
      <w:r w:rsidR="004C4466">
        <w:rPr>
          <w:rFonts w:eastAsia="Times New Roman" w:cstheme="minorHAnsi"/>
          <w:kern w:val="0"/>
          <w14:ligatures w14:val="none"/>
        </w:rPr>
        <w:t xml:space="preserve"> </w:t>
      </w:r>
      <w:r w:rsidR="00E6128D">
        <w:rPr>
          <w:rFonts w:eastAsia="Times New Roman" w:cstheme="minorHAnsi"/>
          <w:kern w:val="0"/>
          <w14:ligatures w14:val="none"/>
        </w:rPr>
        <w:t>aligned to month</w:t>
      </w:r>
      <w:r w:rsidR="007330E3">
        <w:rPr>
          <w:rFonts w:eastAsia="Times New Roman" w:cstheme="minorHAnsi"/>
          <w:kern w:val="0"/>
          <w14:ligatures w14:val="none"/>
        </w:rPr>
        <w:t>-</w:t>
      </w:r>
      <w:r w:rsidR="00E6128D">
        <w:rPr>
          <w:rFonts w:eastAsia="Times New Roman" w:cstheme="minorHAnsi"/>
          <w:kern w:val="0"/>
          <w14:ligatures w14:val="none"/>
        </w:rPr>
        <w:t>level datetime through a ‘dt.to</w:t>
      </w:r>
      <w:r w:rsidR="007330E3">
        <w:rPr>
          <w:rFonts w:eastAsia="Times New Roman" w:cstheme="minorHAnsi"/>
          <w:kern w:val="0"/>
          <w14:ligatures w14:val="none"/>
        </w:rPr>
        <w:t>-</w:t>
      </w:r>
      <w:r w:rsidR="00E6128D">
        <w:rPr>
          <w:rFonts w:eastAsia="Times New Roman" w:cstheme="minorHAnsi"/>
          <w:kern w:val="0"/>
          <w14:ligatures w14:val="none"/>
        </w:rPr>
        <w:t>period’ function</w:t>
      </w:r>
      <w:r w:rsidR="00F57845">
        <w:rPr>
          <w:rFonts w:eastAsia="Times New Roman" w:cstheme="minorHAnsi"/>
          <w:kern w:val="0"/>
          <w14:ligatures w14:val="none"/>
        </w:rPr>
        <w:t>, and ensured all datatypes were numeric and rounded. The final data was put into a ‘</w:t>
      </w:r>
      <w:r w:rsidR="004C4466">
        <w:rPr>
          <w:rFonts w:eastAsia="Times New Roman" w:cstheme="minorHAnsi"/>
          <w:kern w:val="0"/>
          <w14:ligatures w14:val="none"/>
        </w:rPr>
        <w:t>merged</w:t>
      </w:r>
      <w:r w:rsidR="00F57845">
        <w:rPr>
          <w:rFonts w:eastAsia="Times New Roman" w:cstheme="minorHAnsi"/>
          <w:kern w:val="0"/>
          <w14:ligatures w14:val="none"/>
        </w:rPr>
        <w:t xml:space="preserve">’ </w:t>
      </w:r>
      <w:r w:rsidR="008414E6">
        <w:rPr>
          <w:rFonts w:eastAsia="Times New Roman" w:cstheme="minorHAnsi"/>
          <w:kern w:val="0"/>
          <w14:ligatures w14:val="none"/>
        </w:rPr>
        <w:t>data frame</w:t>
      </w:r>
      <w:r w:rsidR="004C4466">
        <w:rPr>
          <w:rFonts w:eastAsia="Times New Roman" w:cstheme="minorHAnsi"/>
          <w:kern w:val="0"/>
          <w14:ligatures w14:val="none"/>
        </w:rPr>
        <w:t>.</w:t>
      </w:r>
    </w:p>
    <w:p w14:paraId="2B1EF872" w14:textId="41456A39" w:rsidR="00640FD5" w:rsidRPr="00B804EF" w:rsidRDefault="00CE21D5" w:rsidP="00B804EF">
      <w:pPr>
        <w:spacing w:before="100" w:beforeAutospacing="1" w:after="100" w:afterAutospacing="1"/>
        <w:ind w:firstLine="720"/>
        <w:rPr>
          <w:rFonts w:cstheme="minorHAnsi"/>
          <w:noProof/>
        </w:rPr>
      </w:pPr>
      <w:r>
        <w:rPr>
          <w:noProof/>
        </w:rPr>
        <w:drawing>
          <wp:anchor distT="0" distB="0" distL="114300" distR="114300" simplePos="0" relativeHeight="251658245" behindDoc="0" locked="0" layoutInCell="1" allowOverlap="1" wp14:anchorId="70109E48" wp14:editId="28534ADC">
            <wp:simplePos x="0" y="0"/>
            <wp:positionH relativeFrom="page">
              <wp:posOffset>3747135</wp:posOffset>
            </wp:positionH>
            <wp:positionV relativeFrom="paragraph">
              <wp:posOffset>1084580</wp:posOffset>
            </wp:positionV>
            <wp:extent cx="3322955" cy="2576830"/>
            <wp:effectExtent l="0" t="0" r="0" b="0"/>
            <wp:wrapTopAndBottom/>
            <wp:docPr id="1615422543" name="Picture 2" descr="Table 1: Data Dictionary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2543" name="Picture 2" descr="Table 1: Data Dictionary Continu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2955"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58246" behindDoc="0" locked="0" layoutInCell="1" allowOverlap="1" wp14:anchorId="2942AFC6" wp14:editId="2A0FF562">
            <wp:simplePos x="0" y="0"/>
            <wp:positionH relativeFrom="margin">
              <wp:posOffset>-353695</wp:posOffset>
            </wp:positionH>
            <wp:positionV relativeFrom="paragraph">
              <wp:posOffset>1077595</wp:posOffset>
            </wp:positionV>
            <wp:extent cx="2906395" cy="2569845"/>
            <wp:effectExtent l="0" t="0" r="8255" b="1905"/>
            <wp:wrapTopAndBottom/>
            <wp:docPr id="1528703925" name="Picture 1" descr="Table 1: Data Diction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3925" name="Picture 1" descr="Table 1: Data Dictionary "/>
                    <pic:cNvPicPr>
                      <a:picLocks noChangeAspect="1" noChangeArrowheads="1"/>
                    </pic:cNvPicPr>
                  </pic:nvPicPr>
                  <pic:blipFill rotWithShape="1">
                    <a:blip r:embed="rId8">
                      <a:extLst>
                        <a:ext uri="{28A0092B-C50C-407E-A947-70E740481C1C}">
                          <a14:useLocalDpi xmlns:a14="http://schemas.microsoft.com/office/drawing/2010/main" val="0"/>
                        </a:ext>
                      </a:extLst>
                    </a:blip>
                    <a:srcRect t="4872"/>
                    <a:stretch/>
                  </pic:blipFill>
                  <pic:spPr bwMode="auto">
                    <a:xfrm>
                      <a:off x="0" y="0"/>
                      <a:ext cx="2906395"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045">
        <w:rPr>
          <w:rFonts w:eastAsia="Times New Roman" w:cstheme="minorHAnsi"/>
          <w:kern w:val="0"/>
          <w14:ligatures w14:val="none"/>
        </w:rPr>
        <w:t xml:space="preserve">Some additional information on our data sources and preparation </w:t>
      </w:r>
      <w:r>
        <w:rPr>
          <w:rFonts w:eastAsia="Times New Roman" w:cstheme="minorHAnsi"/>
          <w:kern w:val="0"/>
          <w14:ligatures w14:val="none"/>
        </w:rPr>
        <w:t>includes</w:t>
      </w:r>
      <w:r w:rsidR="00D46045">
        <w:rPr>
          <w:rFonts w:eastAsia="Times New Roman" w:cstheme="minorHAnsi"/>
          <w:kern w:val="0"/>
          <w14:ligatures w14:val="none"/>
        </w:rPr>
        <w:t xml:space="preserve"> using </w:t>
      </w:r>
      <w:r>
        <w:rPr>
          <w:rFonts w:eastAsia="Times New Roman" w:cstheme="minorHAnsi"/>
          <w:kern w:val="0"/>
          <w14:ligatures w14:val="none"/>
        </w:rPr>
        <w:t>Selenium</w:t>
      </w:r>
      <w:r w:rsidR="00D46045">
        <w:rPr>
          <w:rFonts w:eastAsia="Times New Roman" w:cstheme="minorHAnsi"/>
          <w:kern w:val="0"/>
          <w14:ligatures w14:val="none"/>
        </w:rPr>
        <w:t xml:space="preserve"> to web scrape. We used Selenium </w:t>
      </w:r>
      <w:r>
        <w:rPr>
          <w:rFonts w:eastAsia="Times New Roman" w:cstheme="minorHAnsi"/>
          <w:kern w:val="0"/>
          <w14:ligatures w14:val="none"/>
        </w:rPr>
        <w:t>WebDriver</w:t>
      </w:r>
      <w:r w:rsidR="00D46045">
        <w:rPr>
          <w:rFonts w:eastAsia="Times New Roman" w:cstheme="minorHAnsi"/>
          <w:kern w:val="0"/>
          <w14:ligatures w14:val="none"/>
        </w:rPr>
        <w:t xml:space="preserve"> to open and navigate to the BLS website. To extract the table, we coded it so selenium would click “Show Table” to reveal the data and extract the unemployment rates for the various demographic groups. We stored the data for the demographics groups in lists and created a data frame.</w:t>
      </w:r>
      <w:r w:rsidR="009C13EF" w:rsidRPr="009C13EF">
        <w:rPr>
          <w:rFonts w:cstheme="minorHAnsi"/>
          <w:noProof/>
        </w:rPr>
        <w:t xml:space="preserve"> </w:t>
      </w:r>
    </w:p>
    <w:p w14:paraId="36AB463B" w14:textId="77189309" w:rsidR="00B804EF" w:rsidRDefault="00261947" w:rsidP="007711C3">
      <w:pPr>
        <w:ind w:firstLine="720"/>
        <w:rPr>
          <w:rFonts w:eastAsia="Times New Roman" w:cstheme="minorHAnsi"/>
          <w:i/>
          <w:iCs/>
          <w:kern w:val="0"/>
          <w14:ligatures w14:val="none"/>
        </w:rPr>
      </w:pPr>
      <w:r>
        <w:rPr>
          <w:rFonts w:eastAsia="Times New Roman" w:cstheme="minorHAnsi"/>
          <w:i/>
          <w:iCs/>
          <w:kern w:val="0"/>
          <w14:ligatures w14:val="none"/>
        </w:rPr>
        <w:t xml:space="preserve">Table 1: Data Dictionary </w:t>
      </w:r>
      <w:r w:rsidR="007711C3">
        <w:rPr>
          <w:rFonts w:eastAsia="Times New Roman" w:cstheme="minorHAnsi"/>
          <w:i/>
          <w:iCs/>
          <w:kern w:val="0"/>
          <w14:ligatures w14:val="none"/>
        </w:rPr>
        <w:tab/>
      </w:r>
      <w:r w:rsidR="007711C3">
        <w:rPr>
          <w:rFonts w:eastAsia="Times New Roman" w:cstheme="minorHAnsi"/>
          <w:i/>
          <w:iCs/>
          <w:kern w:val="0"/>
          <w14:ligatures w14:val="none"/>
        </w:rPr>
        <w:tab/>
      </w:r>
      <w:r w:rsidR="007711C3">
        <w:rPr>
          <w:rFonts w:eastAsia="Times New Roman" w:cstheme="minorHAnsi"/>
          <w:i/>
          <w:iCs/>
          <w:kern w:val="0"/>
          <w14:ligatures w14:val="none"/>
        </w:rPr>
        <w:tab/>
      </w:r>
      <w:r w:rsidR="0027441B">
        <w:rPr>
          <w:rFonts w:eastAsia="Times New Roman" w:cstheme="minorHAnsi"/>
          <w:i/>
          <w:iCs/>
          <w:kern w:val="0"/>
          <w14:ligatures w14:val="none"/>
        </w:rPr>
        <w:tab/>
      </w:r>
      <w:r w:rsidR="007711C3">
        <w:rPr>
          <w:rFonts w:eastAsia="Times New Roman" w:cstheme="minorHAnsi"/>
          <w:i/>
          <w:iCs/>
          <w:kern w:val="0"/>
          <w14:ligatures w14:val="none"/>
        </w:rPr>
        <w:t xml:space="preserve">Data Dictionary </w:t>
      </w:r>
      <w:r w:rsidR="00C36392">
        <w:rPr>
          <w:rFonts w:eastAsia="Times New Roman" w:cstheme="minorHAnsi"/>
          <w:i/>
          <w:iCs/>
          <w:kern w:val="0"/>
          <w14:ligatures w14:val="none"/>
        </w:rPr>
        <w:t>Continued</w:t>
      </w:r>
    </w:p>
    <w:p w14:paraId="366FC739" w14:textId="7DB561DF" w:rsidR="00261947" w:rsidRDefault="00261947">
      <w:r>
        <w:rPr>
          <w:i/>
          <w:iCs/>
        </w:rPr>
        <w:tab/>
      </w:r>
    </w:p>
    <w:p w14:paraId="5902815A" w14:textId="2B0DC2BA" w:rsidR="00261947" w:rsidRDefault="00643F0C">
      <w:r w:rsidRPr="0049761F">
        <w:t>Source 1 (Web page)</w:t>
      </w:r>
      <w:r>
        <w:t xml:space="preserve">: </w:t>
      </w:r>
      <w:hyperlink r:id="rId9" w:history="1">
        <w:r w:rsidR="00B2682E" w:rsidRPr="00E661D9">
          <w:rPr>
            <w:rStyle w:val="Hyperlink"/>
          </w:rPr>
          <w:t>https://www.bls.gov/charts/employment</w:t>
        </w:r>
        <w:r w:rsidR="00FA532F">
          <w:rPr>
            <w:rStyle w:val="Hyperlink"/>
          </w:rPr>
          <w:t>,</w:t>
        </w:r>
        <w:r w:rsidR="00B2682E" w:rsidRPr="00E661D9">
          <w:rPr>
            <w:rStyle w:val="Hyperlink"/>
          </w:rPr>
          <w:t>situation/civilian</w:t>
        </w:r>
        <w:r w:rsidR="00FA532F">
          <w:rPr>
            <w:rStyle w:val="Hyperlink"/>
          </w:rPr>
          <w:t>,</w:t>
        </w:r>
        <w:r w:rsidR="00B2682E" w:rsidRPr="00E661D9">
          <w:rPr>
            <w:rStyle w:val="Hyperlink"/>
          </w:rPr>
          <w:t>unemployment</w:t>
        </w:r>
        <w:r w:rsidR="00FA532F">
          <w:rPr>
            <w:rStyle w:val="Hyperlink"/>
          </w:rPr>
          <w:t>,</w:t>
        </w:r>
        <w:r w:rsidR="00B2682E" w:rsidRPr="00E661D9">
          <w:rPr>
            <w:rStyle w:val="Hyperlink"/>
          </w:rPr>
          <w:t>rate.htm</w:t>
        </w:r>
      </w:hyperlink>
      <w:r w:rsidR="00B2682E">
        <w:t xml:space="preserve"> </w:t>
      </w:r>
    </w:p>
    <w:p w14:paraId="73745049" w14:textId="77777777" w:rsidR="00B2682E" w:rsidRDefault="00B2682E"/>
    <w:p w14:paraId="32D28DED" w14:textId="3BB92405" w:rsidR="00B2682E" w:rsidRPr="00261947" w:rsidRDefault="00B2682E">
      <w:r>
        <w:t>Source 2 (Kaggle Dataset)</w:t>
      </w:r>
      <w:r w:rsidR="00E2480F">
        <w:t xml:space="preserve">: </w:t>
      </w:r>
      <w:r>
        <w:t xml:space="preserve"> </w:t>
      </w:r>
      <w:hyperlink r:id="rId10" w:history="1">
        <w:r w:rsidR="00E2480F" w:rsidRPr="00E661D9">
          <w:rPr>
            <w:rStyle w:val="Hyperlink"/>
          </w:rPr>
          <w:t>https://www.kaggle.com/datasets/gkitchen/s</w:t>
        </w:r>
        <w:r w:rsidR="00FA532F">
          <w:rPr>
            <w:rStyle w:val="Hyperlink"/>
          </w:rPr>
          <w:t>,</w:t>
        </w:r>
        <w:r w:rsidR="00E2480F" w:rsidRPr="00E661D9">
          <w:rPr>
            <w:rStyle w:val="Hyperlink"/>
          </w:rPr>
          <w:t>and</w:t>
        </w:r>
        <w:r w:rsidR="00FA532F">
          <w:rPr>
            <w:rStyle w:val="Hyperlink"/>
          </w:rPr>
          <w:t>,</w:t>
        </w:r>
        <w:r w:rsidR="00E2480F" w:rsidRPr="00E661D9">
          <w:rPr>
            <w:rStyle w:val="Hyperlink"/>
          </w:rPr>
          <w:t>p</w:t>
        </w:r>
        <w:r w:rsidR="00FA532F">
          <w:rPr>
            <w:rStyle w:val="Hyperlink"/>
          </w:rPr>
          <w:t>,</w:t>
        </w:r>
        <w:r w:rsidR="00E2480F" w:rsidRPr="00E661D9">
          <w:rPr>
            <w:rStyle w:val="Hyperlink"/>
          </w:rPr>
          <w:t>500</w:t>
        </w:r>
        <w:r w:rsidR="00FA532F">
          <w:rPr>
            <w:rStyle w:val="Hyperlink"/>
          </w:rPr>
          <w:t>,</w:t>
        </w:r>
        <w:r w:rsidR="00E2480F" w:rsidRPr="00E661D9">
          <w:rPr>
            <w:rStyle w:val="Hyperlink"/>
          </w:rPr>
          <w:t>spy</w:t>
        </w:r>
      </w:hyperlink>
      <w:r w:rsidR="00E2480F">
        <w:t xml:space="preserve"> </w:t>
      </w:r>
    </w:p>
    <w:p w14:paraId="09AE6B50" w14:textId="77777777" w:rsidR="009C13EF" w:rsidRDefault="009C13EF">
      <w:pPr>
        <w:rPr>
          <w:b/>
          <w:bCs/>
        </w:rPr>
      </w:pPr>
    </w:p>
    <w:p w14:paraId="5A6735A5" w14:textId="77777777" w:rsidR="009C13EF" w:rsidRDefault="009C13EF">
      <w:pPr>
        <w:rPr>
          <w:b/>
          <w:bCs/>
        </w:rPr>
      </w:pPr>
    </w:p>
    <w:p w14:paraId="7077CC1D" w14:textId="77777777" w:rsidR="00175866" w:rsidRDefault="00175866">
      <w:pPr>
        <w:rPr>
          <w:b/>
          <w:bCs/>
        </w:rPr>
      </w:pPr>
    </w:p>
    <w:p w14:paraId="76AD0E5A" w14:textId="77777777" w:rsidR="00175866" w:rsidRDefault="00175866">
      <w:pPr>
        <w:rPr>
          <w:b/>
          <w:bCs/>
        </w:rPr>
      </w:pPr>
    </w:p>
    <w:p w14:paraId="46102BDB" w14:textId="77777777" w:rsidR="00175866" w:rsidRDefault="00175866">
      <w:pPr>
        <w:rPr>
          <w:b/>
          <w:bCs/>
        </w:rPr>
      </w:pPr>
    </w:p>
    <w:p w14:paraId="48BFA5A6" w14:textId="77777777" w:rsidR="00175866" w:rsidRDefault="00175866">
      <w:pPr>
        <w:rPr>
          <w:b/>
          <w:bCs/>
        </w:rPr>
      </w:pPr>
    </w:p>
    <w:p w14:paraId="4677AC24" w14:textId="756F453A" w:rsidR="00F61197" w:rsidRDefault="00F61197">
      <w:pPr>
        <w:rPr>
          <w:b/>
          <w:bCs/>
        </w:rPr>
      </w:pPr>
      <w:r>
        <w:rPr>
          <w:b/>
          <w:bCs/>
        </w:rPr>
        <w:t>Analysis</w:t>
      </w:r>
    </w:p>
    <w:p w14:paraId="506F9065" w14:textId="77777777" w:rsidR="00F61197" w:rsidRDefault="00F61197">
      <w:pPr>
        <w:rPr>
          <w:b/>
          <w:bCs/>
        </w:rPr>
      </w:pPr>
    </w:p>
    <w:p w14:paraId="6977DD54" w14:textId="2C381A95" w:rsidR="00D7305E" w:rsidRDefault="00D964FD">
      <w:pPr>
        <w:rPr>
          <w:i/>
        </w:rPr>
      </w:pPr>
      <w:r w:rsidRPr="00E02D82">
        <w:rPr>
          <w:i/>
        </w:rPr>
        <w:t xml:space="preserve">3.1 </w:t>
      </w:r>
      <w:r w:rsidR="00E02D82" w:rsidRPr="00E02D82">
        <w:rPr>
          <w:i/>
          <w:iCs/>
        </w:rPr>
        <w:t>Flu</w:t>
      </w:r>
      <w:r w:rsidR="00E02D82">
        <w:rPr>
          <w:i/>
          <w:iCs/>
        </w:rPr>
        <w:t>ctuation</w:t>
      </w:r>
      <w:r w:rsidR="00E02D82" w:rsidRPr="00E02D82">
        <w:rPr>
          <w:i/>
          <w:iCs/>
        </w:rPr>
        <w:t>s</w:t>
      </w:r>
      <w:r w:rsidR="007C10F3" w:rsidRPr="00E02D82">
        <w:rPr>
          <w:i/>
        </w:rPr>
        <w:t xml:space="preserve"> and Performance between S</w:t>
      </w:r>
      <w:r w:rsidR="00E02D82" w:rsidRPr="00E02D82">
        <w:rPr>
          <w:i/>
          <w:iCs/>
        </w:rPr>
        <w:t>&amp;P 500 and Unemployment Rates</w:t>
      </w:r>
    </w:p>
    <w:p w14:paraId="621D27D0" w14:textId="77777777" w:rsidR="00E02D82" w:rsidRPr="00E02D82" w:rsidRDefault="00E02D82">
      <w:pPr>
        <w:rPr>
          <w:i/>
          <w:iCs/>
        </w:rPr>
      </w:pPr>
    </w:p>
    <w:p w14:paraId="6E52B22B" w14:textId="68DE29DF" w:rsidR="00EF57A1" w:rsidRPr="00BF35EA" w:rsidRDefault="009418BE" w:rsidP="00EF57A1">
      <w:pPr>
        <w:spacing w:after="160" w:line="278" w:lineRule="auto"/>
      </w:pPr>
      <w:r>
        <w:t xml:space="preserve">Our </w:t>
      </w:r>
      <w:r w:rsidR="00EF57A1" w:rsidRPr="00BF35EA">
        <w:t>analysis explores whether unemployment rates across different demographic groups can serve as predictors or indicators of the S&amp;P 500 stock market index. Unemployment data for groups including Male, Female, Teen, White, Black, Asian, and Hispanic individuals were examined alongside S&amp;P 500 closing prices. The analysis involved descriptive statistics, bivariate regressions, hypothesis testing, and logistic regression to assess relationships and potential predictive power.</w:t>
      </w:r>
    </w:p>
    <w:p w14:paraId="20D37793" w14:textId="424159E6" w:rsidR="00EF57A1" w:rsidRDefault="00F50B24" w:rsidP="00EF57A1">
      <w:pPr>
        <w:spacing w:after="160" w:line="278" w:lineRule="auto"/>
      </w:pPr>
      <w:r w:rsidRPr="00481826">
        <w:drawing>
          <wp:anchor distT="0" distB="0" distL="114300" distR="114300" simplePos="0" relativeHeight="251658248" behindDoc="0" locked="0" layoutInCell="1" allowOverlap="1" wp14:anchorId="174803B4" wp14:editId="52F8D334">
            <wp:simplePos x="0" y="0"/>
            <wp:positionH relativeFrom="column">
              <wp:posOffset>880322</wp:posOffset>
            </wp:positionH>
            <wp:positionV relativeFrom="paragraph">
              <wp:posOffset>1367578</wp:posOffset>
            </wp:positionV>
            <wp:extent cx="4038600" cy="2184400"/>
            <wp:effectExtent l="0" t="0" r="0" b="6350"/>
            <wp:wrapTopAndBottom/>
            <wp:docPr id="31948334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83349" name="Picture 1"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38600" cy="2184400"/>
                    </a:xfrm>
                    <a:prstGeom prst="rect">
                      <a:avLst/>
                    </a:prstGeom>
                  </pic:spPr>
                </pic:pic>
              </a:graphicData>
            </a:graphic>
            <wp14:sizeRelH relativeFrom="margin">
              <wp14:pctWidth>0</wp14:pctWidth>
            </wp14:sizeRelH>
            <wp14:sizeRelV relativeFrom="margin">
              <wp14:pctHeight>0</wp14:pctHeight>
            </wp14:sizeRelV>
          </wp:anchor>
        </w:drawing>
      </w:r>
      <w:r w:rsidR="001D29BE" w:rsidRPr="001D29BE">
        <w:t xml:space="preserve">The univariate analysis revealed substantial variation in unemployment levels across demographic groups. Teen unemployment had the highest mean (15.91%) and standard deviation (5.30%), highlighting the heightened vulnerability of younger workers to economic shifts. Black (mean: 9.94%, std. dev.: 3.59%) and Hispanic (mean: 7.35%, std. dev.: 3.11%) populations also faced elevated unemployment rates. In contrast, Asian (mean: 4.67%, std. dev.: 2.23%) and White (mean: 5.24%, std. dev.: 2.11%) groups exhibited lower and more stable rates. </w:t>
      </w:r>
    </w:p>
    <w:p w14:paraId="36FBA661" w14:textId="66A435A7" w:rsidR="000702DC" w:rsidRPr="00093C5D" w:rsidRDefault="000529CB" w:rsidP="00481826">
      <w:pPr>
        <w:spacing w:after="160" w:line="278" w:lineRule="auto"/>
        <w:jc w:val="center"/>
        <w:rPr>
          <w:i/>
        </w:rPr>
      </w:pPr>
      <w:r w:rsidRPr="00093C5D">
        <w:rPr>
          <w:i/>
        </w:rPr>
        <w:t xml:space="preserve">Table 2: </w:t>
      </w:r>
      <w:r w:rsidR="00586D71" w:rsidRPr="00093C5D">
        <w:rPr>
          <w:i/>
        </w:rPr>
        <w:t xml:space="preserve">Table </w:t>
      </w:r>
      <w:r w:rsidR="00093C5D" w:rsidRPr="00093C5D">
        <w:rPr>
          <w:i/>
        </w:rPr>
        <w:t>showing results of univariate analysis for each demographic</w:t>
      </w:r>
    </w:p>
    <w:p w14:paraId="218684C2" w14:textId="4509A2AB" w:rsidR="00A96444" w:rsidRPr="00CF6ABA" w:rsidRDefault="001D29BE" w:rsidP="00EF57A1">
      <w:pPr>
        <w:spacing w:after="160" w:line="278" w:lineRule="auto"/>
      </w:pPr>
      <w:r w:rsidRPr="001D29BE">
        <w:t>Female unemployment showed a skewness of 1.66 and kurtosis of 4.25, while Asian unemployment was even more extreme (skewness: 2.02, kurtosis: 5.69), indicating a greater presence of outliers. Descriptive statistics for the S&amp;P 500 revealed a high standard deviation (138.28), moderate right skew (0.91), and elevated kurtosis (-0.34), suggesting considerable volatility and a tendency toward extreme values in market performance.</w:t>
      </w:r>
    </w:p>
    <w:p w14:paraId="12B89BC0" w14:textId="1987F698" w:rsidR="00EF57A1" w:rsidRPr="00BF35EA" w:rsidRDefault="004F0AAB" w:rsidP="00EF57A1">
      <w:pPr>
        <w:spacing w:after="160" w:line="278" w:lineRule="auto"/>
      </w:pPr>
      <w:r w:rsidRPr="004F0AAB">
        <w:t xml:space="preserve">The correlation analysis reveals that changes in the S&amp;P 500 (measured by "Close Change") have minimal association with unemployment rates across demographic groups. The strongest correlation, as expected, is with itself (1.000). Among unemployment indicators, the Asian unemployment rate shows the highest correlation with the S&amp;P 500 at 0.0815, followed by female (0.0439), Hispanic (0.0413), and Black (0.0391) unemployment rates. Male, White, and Teen unemployment rates display even weaker correlations, all below 0.04. These low correlation values suggest that short-term movements in the stock market are largely independent of contemporaneous unemployment rates across demographic groups, highlighting the complexity and potential lag in the relationship between labor market </w:t>
      </w:r>
      <w:r w:rsidR="00572448" w:rsidRPr="00572448">
        <w:drawing>
          <wp:anchor distT="0" distB="0" distL="114300" distR="114300" simplePos="0" relativeHeight="251658249" behindDoc="0" locked="0" layoutInCell="1" allowOverlap="1" wp14:anchorId="683D8F87" wp14:editId="2CAFC198">
            <wp:simplePos x="0" y="0"/>
            <wp:positionH relativeFrom="column">
              <wp:posOffset>1024043</wp:posOffset>
            </wp:positionH>
            <wp:positionV relativeFrom="paragraph">
              <wp:posOffset>1761067</wp:posOffset>
            </wp:positionV>
            <wp:extent cx="3238952" cy="2743583"/>
            <wp:effectExtent l="0" t="0" r="0" b="0"/>
            <wp:wrapTopAndBottom/>
            <wp:docPr id="200854373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3737" name="Picture 1" descr="A black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238952" cy="2743583"/>
                    </a:xfrm>
                    <a:prstGeom prst="rect">
                      <a:avLst/>
                    </a:prstGeom>
                  </pic:spPr>
                </pic:pic>
              </a:graphicData>
            </a:graphic>
          </wp:anchor>
        </w:drawing>
      </w:r>
      <w:r w:rsidRPr="004F0AAB">
        <w:t>conditions and financial market performance.</w:t>
      </w:r>
    </w:p>
    <w:p w14:paraId="0943DC50" w14:textId="7BD76CB7" w:rsidR="00605CAA" w:rsidRPr="00E97745" w:rsidRDefault="00572448" w:rsidP="00EF57A1">
      <w:pPr>
        <w:spacing w:after="160" w:line="278" w:lineRule="auto"/>
        <w:rPr>
          <w:i/>
        </w:rPr>
      </w:pPr>
      <w:r w:rsidRPr="00E97745">
        <w:rPr>
          <w:i/>
        </w:rPr>
        <w:t xml:space="preserve">Table 3: </w:t>
      </w:r>
      <w:r w:rsidR="00E97745" w:rsidRPr="00E97745">
        <w:rPr>
          <w:i/>
        </w:rPr>
        <w:t xml:space="preserve">The table shows correlations between S&amp;P 500 changes and unemployment rates across all demographic </w:t>
      </w:r>
      <w:proofErr w:type="gramStart"/>
      <w:r w:rsidR="00E97745" w:rsidRPr="00E97745">
        <w:rPr>
          <w:i/>
        </w:rPr>
        <w:t>groups</w:t>
      </w:r>
      <w:proofErr w:type="gramEnd"/>
    </w:p>
    <w:p w14:paraId="3058B40D" w14:textId="192A5D24" w:rsidR="00EF57A1" w:rsidRPr="00BF35EA" w:rsidRDefault="00EF57A1" w:rsidP="00EF57A1">
      <w:pPr>
        <w:spacing w:after="160" w:line="278" w:lineRule="auto"/>
      </w:pPr>
      <w:r w:rsidRPr="00BF35EA">
        <w:t>To further explore these relationships, Welch’s t</w:t>
      </w:r>
      <w:r w:rsidR="007330E3">
        <w:t>-</w:t>
      </w:r>
      <w:r w:rsidRPr="00BF35EA">
        <w:t>test was used to compare the means of Male unemployment rates and S&amp;P 500 highs. The test produced a p</w:t>
      </w:r>
      <w:r w:rsidR="007330E3">
        <w:t>-</w:t>
      </w:r>
      <w:r w:rsidRPr="00BF35EA">
        <w:t>value above 0.05, leading to a failure to reject the null hypothesis and suggesting no statistically significant difference between the two variables. In a second test, Pearson’s correlation between Female unemployment and S&amp;P 500 highs showed a weak negative relationship, which was also not statistically significant. These results reinforce the notion that demographic unemployment rates on their own do not exhibit strong or consistent associations with stock market performance.</w:t>
      </w:r>
    </w:p>
    <w:p w14:paraId="66982548" w14:textId="77777777" w:rsidR="00351F02" w:rsidRDefault="00351F02" w:rsidP="00EF57A1">
      <w:pPr>
        <w:spacing w:after="160" w:line="278" w:lineRule="auto"/>
      </w:pPr>
    </w:p>
    <w:p w14:paraId="177C5F53" w14:textId="77777777" w:rsidR="00351F02" w:rsidRDefault="00351F02" w:rsidP="00EF57A1">
      <w:pPr>
        <w:spacing w:after="160" w:line="278" w:lineRule="auto"/>
      </w:pPr>
    </w:p>
    <w:p w14:paraId="53A0F062" w14:textId="77777777" w:rsidR="00351F02" w:rsidRDefault="00351F02" w:rsidP="00EF57A1">
      <w:pPr>
        <w:spacing w:after="160" w:line="278" w:lineRule="auto"/>
      </w:pPr>
    </w:p>
    <w:p w14:paraId="14547D7C" w14:textId="77777777" w:rsidR="00351F02" w:rsidRDefault="00351F02" w:rsidP="00EF57A1">
      <w:pPr>
        <w:spacing w:after="160" w:line="278" w:lineRule="auto"/>
      </w:pPr>
    </w:p>
    <w:p w14:paraId="364B56A4" w14:textId="77777777" w:rsidR="00351F02" w:rsidRDefault="00351F02" w:rsidP="00EF57A1">
      <w:pPr>
        <w:spacing w:after="160" w:line="278" w:lineRule="auto"/>
      </w:pPr>
    </w:p>
    <w:p w14:paraId="7056F03B" w14:textId="258D1ADB" w:rsidR="00351F02" w:rsidRDefault="00E50182" w:rsidP="00E50182">
      <w:pPr>
        <w:spacing w:after="160" w:line="278" w:lineRule="auto"/>
        <w:jc w:val="center"/>
      </w:pPr>
      <w:r>
        <w:rPr>
          <w:rFonts w:ascii="Arial" w:hAnsi="Arial" w:cs="Arial"/>
          <w:noProof/>
          <w:color w:val="000000"/>
          <w:sz w:val="22"/>
          <w:szCs w:val="22"/>
          <w:bdr w:val="none" w:sz="0" w:space="0" w:color="auto" w:frame="1"/>
        </w:rPr>
        <w:drawing>
          <wp:anchor distT="0" distB="0" distL="114300" distR="114300" simplePos="0" relativeHeight="251658250" behindDoc="0" locked="0" layoutInCell="1" allowOverlap="1" wp14:anchorId="53EE782D" wp14:editId="68CAC1B6">
            <wp:simplePos x="0" y="0"/>
            <wp:positionH relativeFrom="margin">
              <wp:posOffset>1123950</wp:posOffset>
            </wp:positionH>
            <wp:positionV relativeFrom="paragraph">
              <wp:posOffset>139276</wp:posOffset>
            </wp:positionV>
            <wp:extent cx="3691255" cy="2865755"/>
            <wp:effectExtent l="0" t="0" r="4445" b="0"/>
            <wp:wrapTopAndBottom/>
            <wp:docPr id="1891882191" name="Picture 2"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82191" name="Picture 2" descr="A graph with red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1255" cy="286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0182">
        <w:rPr>
          <w:i/>
          <w:iCs/>
        </w:rPr>
        <w:t xml:space="preserve">Table </w:t>
      </w:r>
      <w:r w:rsidR="009D7FDF">
        <w:rPr>
          <w:i/>
          <w:iCs/>
        </w:rPr>
        <w:t>4</w:t>
      </w:r>
      <w:r w:rsidRPr="00E50182">
        <w:rPr>
          <w:i/>
          <w:iCs/>
        </w:rPr>
        <w:t xml:space="preserve">: Graph showcasing relationship between male unemployment and S&amp;P 500 </w:t>
      </w:r>
      <w:proofErr w:type="gramStart"/>
      <w:r w:rsidRPr="00E50182">
        <w:rPr>
          <w:i/>
          <w:iCs/>
        </w:rPr>
        <w:t>price</w:t>
      </w:r>
      <w:proofErr w:type="gramEnd"/>
    </w:p>
    <w:p w14:paraId="280929ED" w14:textId="1393F505" w:rsidR="00965261" w:rsidRDefault="00EF57A1" w:rsidP="00EF57A1">
      <w:pPr>
        <w:spacing w:after="160" w:line="278" w:lineRule="auto"/>
      </w:pPr>
      <w:r w:rsidRPr="00BF35EA">
        <w:t>A logistic regression was employed to assess whether unemployment rates could predict the daily direction of the S&amp;P 500, using a binary outcome for market movement (1 for increase, 0 for no increase or decrease). All seven unemployment categories were used as predictors. None of the coefficients were statistically significant, and the model’s R</w:t>
      </w:r>
      <w:r w:rsidR="00A91030">
        <w:t>-</w:t>
      </w:r>
      <w:r w:rsidRPr="00BF35EA">
        <w:t>squared value was very low, indicating that unemployment rates lack predictive power regarding market direction.</w:t>
      </w:r>
    </w:p>
    <w:p w14:paraId="5F3D0287" w14:textId="2803776C" w:rsidR="00EF57A1" w:rsidRPr="00BF35EA" w:rsidRDefault="00EF57A1" w:rsidP="00EF57A1">
      <w:pPr>
        <w:spacing w:after="160" w:line="278" w:lineRule="auto"/>
      </w:pPr>
      <w:r w:rsidRPr="00BF35EA">
        <w:t>In summary, while some unemployment rates, particularly for Teens and Black individuals, display a slightly stronger negative correlation with the S&amp;P 500, these relationships are weak and not statistically significant. Unemployment trends alone do not adequately explain or forecast stock market movements. This underscores the complexity of financial markets, which are influenced by a broader set of factors such as interest rates, inflation, earnings expectations, and investor sentiment. Future research could benefit from integrating additional macroeconomic indicators to build more comprehensive and accurate models of market behavior.</w:t>
      </w:r>
    </w:p>
    <w:p w14:paraId="0F4E5E15" w14:textId="77777777" w:rsidR="00F61197" w:rsidRPr="00DC6D59" w:rsidRDefault="00F61197">
      <w:pPr>
        <w:rPr>
          <w:i/>
        </w:rPr>
      </w:pPr>
    </w:p>
    <w:p w14:paraId="2956BC77" w14:textId="2656234C" w:rsidR="0071248B" w:rsidRDefault="00E02D82">
      <w:pPr>
        <w:rPr>
          <w:i/>
        </w:rPr>
      </w:pPr>
      <w:r w:rsidRPr="00DC6D59">
        <w:rPr>
          <w:i/>
          <w:iCs/>
        </w:rPr>
        <w:t xml:space="preserve">3.2 S&amp;P 500 Index Increase/Decrease and its </w:t>
      </w:r>
      <w:r w:rsidR="00DC6D59" w:rsidRPr="00DC6D59">
        <w:rPr>
          <w:i/>
          <w:iCs/>
        </w:rPr>
        <w:t>target demographic group</w:t>
      </w:r>
    </w:p>
    <w:p w14:paraId="368E40F7" w14:textId="77777777" w:rsidR="00DC6D59" w:rsidRPr="00DC6D59" w:rsidRDefault="00DC6D59">
      <w:pPr>
        <w:rPr>
          <w:i/>
          <w:iCs/>
        </w:rPr>
      </w:pPr>
    </w:p>
    <w:p w14:paraId="1709FA4C" w14:textId="21697D86" w:rsidR="00E25896" w:rsidRPr="00890B16" w:rsidRDefault="00E25896" w:rsidP="00E25896">
      <w:pPr>
        <w:spacing w:after="160" w:line="278" w:lineRule="auto"/>
      </w:pPr>
      <w:r w:rsidRPr="00890B16">
        <w:t xml:space="preserve">This analysis explores whether changes in unemployment rates across different demographic groups can predict the </w:t>
      </w:r>
      <w:r w:rsidR="00AA7A4F">
        <w:t>short-term</w:t>
      </w:r>
      <w:r w:rsidRPr="00890B16">
        <w:t xml:space="preserve"> direction of the S&amp;P 500 Index. The underlying idea is that labor market conditions often reflect broader economic health</w:t>
      </w:r>
      <w:r w:rsidR="00BC04A2">
        <w:t>,</w:t>
      </w:r>
      <w:r w:rsidRPr="00890B16">
        <w:t xml:space="preserve"> and shifts in unemploymen</w:t>
      </w:r>
      <w:r>
        <w:t>t</w:t>
      </w:r>
      <w:r w:rsidR="00AA7A4F">
        <w:t>,</w:t>
      </w:r>
      <w:r>
        <w:t xml:space="preserve"> </w:t>
      </w:r>
      <w:r w:rsidRPr="00890B16">
        <w:t>particularly among more economically sensitive group</w:t>
      </w:r>
      <w:r>
        <w:t>s</w:t>
      </w:r>
      <w:r w:rsidR="00AA7A4F">
        <w:t>,</w:t>
      </w:r>
      <w:r>
        <w:t xml:space="preserve"> </w:t>
      </w:r>
      <w:r w:rsidRPr="00890B16">
        <w:t>might provide early signals of market movement. The hypothesis was that month</w:t>
      </w:r>
      <w:r w:rsidR="00BC04A2">
        <w:t xml:space="preserve"> </w:t>
      </w:r>
      <w:r w:rsidRPr="00890B16">
        <w:t>over</w:t>
      </w:r>
      <w:r w:rsidR="00BC04A2">
        <w:t xml:space="preserve"> </w:t>
      </w:r>
      <w:r w:rsidR="00512CA8">
        <w:t>month-over-month</w:t>
      </w:r>
      <w:r w:rsidRPr="00890B16">
        <w:t xml:space="preserve"> changes in </w:t>
      </w:r>
      <w:r w:rsidR="00BC04A2">
        <w:t>demographic-specific</w:t>
      </w:r>
      <w:r w:rsidRPr="00890B16">
        <w:t xml:space="preserve"> unemployment rates could be used to predict whether the S&amp;P 500 would increase or decrease in a given month.</w:t>
      </w:r>
    </w:p>
    <w:p w14:paraId="65B2A56D" w14:textId="2C14B10F" w:rsidR="000E22AC" w:rsidRDefault="00AA7A4F" w:rsidP="00E25896">
      <w:r>
        <w:t>An i</w:t>
      </w:r>
      <w:r w:rsidR="00E25896" w:rsidRPr="00890B16">
        <w:t xml:space="preserve">nitial visual inspection revealed no clear or consistent patterns linking any single group’s unemployment changes with stock market direction. However, major macroeconomic events such as the 2008 financial crisis and the </w:t>
      </w:r>
      <w:r>
        <w:t>COVID-19</w:t>
      </w:r>
      <w:r w:rsidR="00E25896" w:rsidRPr="00890B16">
        <w:t xml:space="preserve"> pandemic caused pronounced and simultaneous movements in both unemployment and the S&amp;P 500. These moments of </w:t>
      </w:r>
    </w:p>
    <w:p w14:paraId="265DE578" w14:textId="35E5027D" w:rsidR="000E22AC" w:rsidRDefault="000E22AC" w:rsidP="00E25896">
      <w:r w:rsidRPr="00AB6BBD">
        <w:rPr>
          <w:noProof/>
        </w:rPr>
        <w:drawing>
          <wp:anchor distT="0" distB="0" distL="114300" distR="114300" simplePos="0" relativeHeight="251658240" behindDoc="1" locked="0" layoutInCell="1" allowOverlap="1" wp14:anchorId="32CB4245" wp14:editId="30AC852A">
            <wp:simplePos x="0" y="0"/>
            <wp:positionH relativeFrom="margin">
              <wp:align>center</wp:align>
            </wp:positionH>
            <wp:positionV relativeFrom="paragraph">
              <wp:posOffset>160296</wp:posOffset>
            </wp:positionV>
            <wp:extent cx="3768725" cy="2038985"/>
            <wp:effectExtent l="0" t="0" r="3175" b="0"/>
            <wp:wrapTopAndBottom/>
            <wp:docPr id="2796119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11911" name="Picture 1" descr="A graph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8725" cy="2038985"/>
                    </a:xfrm>
                    <a:prstGeom prst="rect">
                      <a:avLst/>
                    </a:prstGeom>
                  </pic:spPr>
                </pic:pic>
              </a:graphicData>
            </a:graphic>
            <wp14:sizeRelH relativeFrom="margin">
              <wp14:pctWidth>0</wp14:pctWidth>
            </wp14:sizeRelH>
            <wp14:sizeRelV relativeFrom="margin">
              <wp14:pctHeight>0</wp14:pctHeight>
            </wp14:sizeRelV>
          </wp:anchor>
        </w:drawing>
      </w:r>
    </w:p>
    <w:p w14:paraId="504680B8" w14:textId="4B692955" w:rsidR="000E22AC" w:rsidRPr="00D35D79" w:rsidRDefault="000E22AC" w:rsidP="004C1CA6">
      <w:pPr>
        <w:jc w:val="center"/>
        <w:rPr>
          <w:i/>
        </w:rPr>
      </w:pPr>
      <w:r w:rsidRPr="00D35D79">
        <w:rPr>
          <w:i/>
        </w:rPr>
        <w:t xml:space="preserve">Table </w:t>
      </w:r>
      <w:r w:rsidR="009D7FDF">
        <w:rPr>
          <w:i/>
        </w:rPr>
        <w:t>5</w:t>
      </w:r>
      <w:r w:rsidRPr="00D35D79">
        <w:rPr>
          <w:i/>
        </w:rPr>
        <w:t xml:space="preserve">: Graph showcasing </w:t>
      </w:r>
      <w:r w:rsidR="00CB3F78" w:rsidRPr="00D35D79">
        <w:rPr>
          <w:i/>
        </w:rPr>
        <w:t xml:space="preserve">change of unemployment in all demographics versus S&amp;P 500 </w:t>
      </w:r>
      <w:proofErr w:type="gramStart"/>
      <w:r w:rsidR="00CB3F78" w:rsidRPr="00D35D79">
        <w:rPr>
          <w:i/>
        </w:rPr>
        <w:t>price</w:t>
      </w:r>
      <w:proofErr w:type="gramEnd"/>
    </w:p>
    <w:p w14:paraId="0D3D014D" w14:textId="77777777" w:rsidR="000E22AC" w:rsidRDefault="000E22AC" w:rsidP="00E25896"/>
    <w:p w14:paraId="74D406C1" w14:textId="479FA4B3" w:rsidR="00E25896" w:rsidRDefault="00E25896" w:rsidP="00E25896">
      <w:r w:rsidRPr="00890B16">
        <w:t xml:space="preserve">alignment </w:t>
      </w:r>
      <w:r w:rsidR="00175866" w:rsidRPr="00890B16">
        <w:t>suggests</w:t>
      </w:r>
      <w:r w:rsidRPr="00890B16">
        <w:t xml:space="preserve"> that system</w:t>
      </w:r>
      <w:r w:rsidR="00B84E57">
        <w:t>-</w:t>
      </w:r>
      <w:r w:rsidRPr="00890B16">
        <w:t>wide shocks, rather than changes within specific demographic groups, are more influential drivers of market behavior.</w:t>
      </w:r>
    </w:p>
    <w:p w14:paraId="05140F74" w14:textId="07472CF0" w:rsidR="00E25896" w:rsidRPr="00890B16" w:rsidRDefault="00A52C5D" w:rsidP="00247BC0">
      <w:pPr>
        <w:spacing w:after="160" w:line="278" w:lineRule="auto"/>
        <w:jc w:val="center"/>
      </w:pPr>
      <w:r>
        <w:t xml:space="preserve">Table: The graph above shows an overview of </w:t>
      </w:r>
      <w:r w:rsidR="00B84E57">
        <w:t xml:space="preserve">the </w:t>
      </w:r>
      <w:r>
        <w:t xml:space="preserve">unemployment rate and S&amp;P 500 </w:t>
      </w:r>
      <w:r w:rsidR="00247BC0">
        <w:t>closing prices</w:t>
      </w:r>
    </w:p>
    <w:p w14:paraId="6DA199FF" w14:textId="6257C1BE" w:rsidR="00E25896" w:rsidRDefault="00E25896" w:rsidP="00E25896">
      <w:r w:rsidRPr="00D2388D">
        <w:rPr>
          <w:noProof/>
        </w:rPr>
        <w:drawing>
          <wp:anchor distT="0" distB="0" distL="114300" distR="114300" simplePos="0" relativeHeight="251658242" behindDoc="0" locked="0" layoutInCell="1" allowOverlap="1" wp14:anchorId="13B67053" wp14:editId="52540136">
            <wp:simplePos x="0" y="0"/>
            <wp:positionH relativeFrom="margin">
              <wp:posOffset>1501140</wp:posOffset>
            </wp:positionH>
            <wp:positionV relativeFrom="paragraph">
              <wp:posOffset>839774</wp:posOffset>
            </wp:positionV>
            <wp:extent cx="2941983" cy="1922434"/>
            <wp:effectExtent l="0" t="0" r="0" b="1905"/>
            <wp:wrapTopAndBottom/>
            <wp:docPr id="186424269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42690" name="Picture 1" descr="A graph with a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41983" cy="1922434"/>
                    </a:xfrm>
                    <a:prstGeom prst="rect">
                      <a:avLst/>
                    </a:prstGeom>
                  </pic:spPr>
                </pic:pic>
              </a:graphicData>
            </a:graphic>
            <wp14:sizeRelH relativeFrom="margin">
              <wp14:pctWidth>0</wp14:pctWidth>
            </wp14:sizeRelH>
            <wp14:sizeRelV relativeFrom="margin">
              <wp14:pctHeight>0</wp14:pctHeight>
            </wp14:sizeRelV>
          </wp:anchor>
        </w:drawing>
      </w:r>
      <w:r w:rsidRPr="00890B16">
        <w:t xml:space="preserve">Several modeling techniques were applied to further investigate potential predictive relationships. A Random Forest classifier was trained on unemployment changes to predict S&amp;P 500 direction. The model achieved </w:t>
      </w:r>
      <w:r w:rsidR="00B84E57">
        <w:t xml:space="preserve">a </w:t>
      </w:r>
      <w:r>
        <w:t>lackluster</w:t>
      </w:r>
      <w:r w:rsidRPr="00890B16">
        <w:t xml:space="preserve"> accuracy, around 59 percent, and </w:t>
      </w:r>
      <w:r>
        <w:t>had an AUC of only 0.41.</w:t>
      </w:r>
    </w:p>
    <w:p w14:paraId="6B9DC910" w14:textId="2FA3A296" w:rsidR="00E25896" w:rsidRPr="00CB0E79" w:rsidRDefault="002877DA" w:rsidP="00A75928">
      <w:pPr>
        <w:jc w:val="center"/>
        <w:rPr>
          <w:i/>
        </w:rPr>
      </w:pPr>
      <w:r w:rsidRPr="00CB0E79">
        <w:rPr>
          <w:i/>
        </w:rPr>
        <w:t xml:space="preserve">Table </w:t>
      </w:r>
      <w:r w:rsidR="009D7FDF">
        <w:rPr>
          <w:i/>
        </w:rPr>
        <w:t>6</w:t>
      </w:r>
      <w:r w:rsidRPr="00CB0E79">
        <w:rPr>
          <w:i/>
        </w:rPr>
        <w:t xml:space="preserve">: The </w:t>
      </w:r>
      <w:r w:rsidR="00A75928" w:rsidRPr="00CB0E79">
        <w:rPr>
          <w:i/>
        </w:rPr>
        <w:t>graph above shows our lackluster ROC and AUC</w:t>
      </w:r>
    </w:p>
    <w:p w14:paraId="7D9F4DFC" w14:textId="77777777" w:rsidR="002877DA" w:rsidRDefault="002877DA" w:rsidP="00E25896"/>
    <w:p w14:paraId="1F376DB7" w14:textId="62BAB26F" w:rsidR="00E25896" w:rsidRDefault="00E25896" w:rsidP="00E25896">
      <w:r w:rsidRPr="00890B16">
        <w:t xml:space="preserve">Feature importance scores were relatively evenly distributed across all variables, with changes in teen, Black, and Asian unemployment ranking slightly higher, though not decisively. A logistic regression model was also employed but performed poorly, offering weak predictive value and producing coefficients with little economic interpretability. </w:t>
      </w:r>
    </w:p>
    <w:p w14:paraId="4E870A2C" w14:textId="77777777" w:rsidR="0071164E" w:rsidRDefault="0071164E" w:rsidP="00E25896"/>
    <w:p w14:paraId="377ED6D3" w14:textId="77777777" w:rsidR="00A20A6B" w:rsidRDefault="0071164E" w:rsidP="00E25896">
      <w:r w:rsidRPr="00890B16">
        <w:t xml:space="preserve">To test for potential delayed effects, a lagged variable approach was implemented, shifting unemployment changes by one month to allow for delayed market responses. This version of </w:t>
      </w:r>
    </w:p>
    <w:p w14:paraId="54AC0939" w14:textId="77777777" w:rsidR="00004220" w:rsidRDefault="0071164E" w:rsidP="00E25896">
      <w:r w:rsidRPr="00890B16">
        <w:t>the model showed a slight increase in accuracy</w:t>
      </w:r>
      <w:r>
        <w:t>, since it accounted for non-instant employment effects, but overall reflected</w:t>
      </w:r>
      <w:r w:rsidRPr="00890B16">
        <w:t xml:space="preserve"> the long</w:t>
      </w:r>
      <w:r>
        <w:t>-</w:t>
      </w:r>
      <w:r w:rsidRPr="00890B16">
        <w:t xml:space="preserve">term upward trend in the S&amp;P 500 rather than </w:t>
      </w:r>
      <w:proofErr w:type="gramStart"/>
      <w:r w:rsidRPr="00890B16">
        <w:t>capturing</w:t>
      </w:r>
      <w:proofErr w:type="gramEnd"/>
      <w:r w:rsidRPr="00890B16">
        <w:t xml:space="preserve"> </w:t>
      </w:r>
    </w:p>
    <w:p w14:paraId="40B5CCE6" w14:textId="66EAB36F" w:rsidR="0071164E" w:rsidRDefault="0071164E" w:rsidP="00E25896">
      <w:r w:rsidRPr="00890B16">
        <w:t>meaningful unemployment</w:t>
      </w:r>
      <w:r>
        <w:t>-</w:t>
      </w:r>
      <w:r w:rsidRPr="00890B16">
        <w:t xml:space="preserve">market relationships. </w:t>
      </w:r>
      <w:r>
        <w:t>Our</w:t>
      </w:r>
      <w:r>
        <w:t xml:space="preserve"> </w:t>
      </w:r>
      <w:r>
        <w:t xml:space="preserve">best metric was our True Negative </w:t>
      </w:r>
      <w:r w:rsidRPr="00C10838">
        <w:rPr>
          <w:noProof/>
        </w:rPr>
        <w:drawing>
          <wp:anchor distT="0" distB="0" distL="114300" distR="114300" simplePos="0" relativeHeight="251658241" behindDoc="0" locked="0" layoutInCell="1" allowOverlap="1" wp14:anchorId="6D23CE18" wp14:editId="214FCF42">
            <wp:simplePos x="0" y="0"/>
            <wp:positionH relativeFrom="margin">
              <wp:align>center</wp:align>
            </wp:positionH>
            <wp:positionV relativeFrom="paragraph">
              <wp:posOffset>471863</wp:posOffset>
            </wp:positionV>
            <wp:extent cx="4635610" cy="2741745"/>
            <wp:effectExtent l="0" t="0" r="0" b="1905"/>
            <wp:wrapTopAndBottom/>
            <wp:docPr id="277741812" name="Picture 1"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41812" name="Picture 1" descr="A graph of a logistic regressio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635610" cy="2741745"/>
                    </a:xfrm>
                    <a:prstGeom prst="rect">
                      <a:avLst/>
                    </a:prstGeom>
                  </pic:spPr>
                </pic:pic>
              </a:graphicData>
            </a:graphic>
          </wp:anchor>
        </w:drawing>
      </w:r>
      <w:r>
        <w:t>rate in our confusion matrix, but we believe this to be due to countrywide economic effects.</w:t>
      </w:r>
    </w:p>
    <w:p w14:paraId="1A3C02A1" w14:textId="77777777" w:rsidR="0068310C" w:rsidRPr="00D35D79" w:rsidRDefault="0068310C" w:rsidP="0068310C">
      <w:pPr>
        <w:jc w:val="center"/>
        <w:rPr>
          <w:i/>
        </w:rPr>
      </w:pPr>
      <w:r w:rsidRPr="00D35D79">
        <w:rPr>
          <w:i/>
        </w:rPr>
        <w:t xml:space="preserve">Table </w:t>
      </w:r>
      <w:r>
        <w:rPr>
          <w:i/>
        </w:rPr>
        <w:t>7</w:t>
      </w:r>
      <w:r w:rsidRPr="00D35D79">
        <w:rPr>
          <w:i/>
        </w:rPr>
        <w:t xml:space="preserve">: The graph compares coefficients between both the lagged and original </w:t>
      </w:r>
      <w:proofErr w:type="gramStart"/>
      <w:r w:rsidRPr="00D35D79">
        <w:rPr>
          <w:i/>
        </w:rPr>
        <w:t>variables</w:t>
      </w:r>
      <w:proofErr w:type="gramEnd"/>
    </w:p>
    <w:p w14:paraId="2ECBFBAB" w14:textId="77777777" w:rsidR="00A00927" w:rsidRDefault="00A00927" w:rsidP="00E25896"/>
    <w:p w14:paraId="1DACF09E" w14:textId="532B9206" w:rsidR="00A00927" w:rsidRPr="00D35D79" w:rsidRDefault="00A00927" w:rsidP="00A00927">
      <w:pPr>
        <w:jc w:val="center"/>
        <w:rPr>
          <w:i/>
        </w:rPr>
      </w:pPr>
      <w:r w:rsidRPr="00D35D79">
        <w:rPr>
          <w:i/>
        </w:rPr>
        <w:drawing>
          <wp:anchor distT="0" distB="0" distL="114300" distR="114300" simplePos="0" relativeHeight="251658244" behindDoc="0" locked="0" layoutInCell="1" allowOverlap="1" wp14:anchorId="639CF8AE" wp14:editId="4DA294C4">
            <wp:simplePos x="0" y="0"/>
            <wp:positionH relativeFrom="margin">
              <wp:align>right</wp:align>
            </wp:positionH>
            <wp:positionV relativeFrom="paragraph">
              <wp:posOffset>26973</wp:posOffset>
            </wp:positionV>
            <wp:extent cx="5943600" cy="3500755"/>
            <wp:effectExtent l="0" t="0" r="0" b="4445"/>
            <wp:wrapTopAndBottom/>
            <wp:docPr id="836570188" name="Picture 1"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70188" name="Picture 1" descr="A graph with blue and white lin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anchor>
        </w:drawing>
      </w:r>
      <w:r w:rsidRPr="00D35D79">
        <w:rPr>
          <w:i/>
        </w:rPr>
        <w:t xml:space="preserve">Table </w:t>
      </w:r>
      <w:r w:rsidR="0068310C">
        <w:rPr>
          <w:i/>
        </w:rPr>
        <w:t>8</w:t>
      </w:r>
      <w:r w:rsidRPr="00D35D79">
        <w:rPr>
          <w:i/>
        </w:rPr>
        <w:t xml:space="preserve">: Feature importance including both original variables and lagged </w:t>
      </w:r>
      <w:proofErr w:type="gramStart"/>
      <w:r w:rsidRPr="00D35D79">
        <w:rPr>
          <w:i/>
        </w:rPr>
        <w:t>variables</w:t>
      </w:r>
      <w:proofErr w:type="gramEnd"/>
    </w:p>
    <w:p w14:paraId="25FEDE15" w14:textId="77777777" w:rsidR="00A00927" w:rsidRDefault="00A00927" w:rsidP="00E25896"/>
    <w:p w14:paraId="303F4AF3" w14:textId="3CA34D22" w:rsidR="00E25896" w:rsidRDefault="0071164E" w:rsidP="00E25896">
      <w:r>
        <w:rPr>
          <w:noProof/>
        </w:rPr>
        <w:drawing>
          <wp:anchor distT="0" distB="0" distL="114300" distR="114300" simplePos="0" relativeHeight="251658243" behindDoc="0" locked="0" layoutInCell="1" allowOverlap="1" wp14:anchorId="3479796B" wp14:editId="6099F414">
            <wp:simplePos x="0" y="0"/>
            <wp:positionH relativeFrom="margin">
              <wp:posOffset>1469448</wp:posOffset>
            </wp:positionH>
            <wp:positionV relativeFrom="paragraph">
              <wp:posOffset>291176</wp:posOffset>
            </wp:positionV>
            <wp:extent cx="2830195" cy="2324100"/>
            <wp:effectExtent l="0" t="0" r="8255" b="0"/>
            <wp:wrapTopAndBottom/>
            <wp:docPr id="844541172" name="Picture 1" descr="A blu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41172" name="Picture 1" descr="A blue and white diagram&#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0195" cy="2324100"/>
                    </a:xfrm>
                    <a:prstGeom prst="rect">
                      <a:avLst/>
                    </a:prstGeom>
                    <a:noFill/>
                  </pic:spPr>
                </pic:pic>
              </a:graphicData>
            </a:graphic>
            <wp14:sizeRelH relativeFrom="margin">
              <wp14:pctWidth>0</wp14:pctWidth>
            </wp14:sizeRelH>
            <wp14:sizeRelV relativeFrom="margin">
              <wp14:pctHeight>0</wp14:pctHeight>
            </wp14:sizeRelV>
          </wp:anchor>
        </w:drawing>
      </w:r>
    </w:p>
    <w:p w14:paraId="072B23DF" w14:textId="6B2FD48C" w:rsidR="00E25896" w:rsidRDefault="00E25896" w:rsidP="00E25896"/>
    <w:p w14:paraId="29A09A22" w14:textId="5F8633BF" w:rsidR="00CB3F78" w:rsidRPr="00D35D79" w:rsidRDefault="002A6B49" w:rsidP="002A6B49">
      <w:pPr>
        <w:jc w:val="center"/>
        <w:rPr>
          <w:i/>
        </w:rPr>
      </w:pPr>
      <w:r w:rsidRPr="00D35D79">
        <w:rPr>
          <w:i/>
        </w:rPr>
        <w:t xml:space="preserve">Table </w:t>
      </w:r>
      <w:r w:rsidR="0068310C">
        <w:rPr>
          <w:i/>
        </w:rPr>
        <w:t>9</w:t>
      </w:r>
      <w:r w:rsidRPr="00D35D79">
        <w:rPr>
          <w:i/>
        </w:rPr>
        <w:t xml:space="preserve">: Confusion matrix showcasing our strong True Negative </w:t>
      </w:r>
      <w:proofErr w:type="gramStart"/>
      <w:r w:rsidRPr="00D35D79">
        <w:rPr>
          <w:i/>
        </w:rPr>
        <w:t>rate</w:t>
      </w:r>
      <w:proofErr w:type="gramEnd"/>
    </w:p>
    <w:p w14:paraId="373EDC32" w14:textId="77777777" w:rsidR="00EB4F34" w:rsidRDefault="00EB4F34" w:rsidP="00E25896">
      <w:pPr>
        <w:spacing w:after="160" w:line="278" w:lineRule="auto"/>
      </w:pPr>
    </w:p>
    <w:p w14:paraId="5FC6D462" w14:textId="77777777" w:rsidR="00EB4F34" w:rsidRDefault="00EB4F34" w:rsidP="00E25896">
      <w:pPr>
        <w:spacing w:after="160" w:line="278" w:lineRule="auto"/>
      </w:pPr>
    </w:p>
    <w:p w14:paraId="1D0BE274" w14:textId="555A2876" w:rsidR="00E25896" w:rsidRPr="00890B16" w:rsidRDefault="00E25896" w:rsidP="00E25896">
      <w:pPr>
        <w:spacing w:after="160" w:line="278" w:lineRule="auto"/>
      </w:pPr>
      <w:r w:rsidRPr="00890B16">
        <w:t>Chi</w:t>
      </w:r>
      <w:r w:rsidR="00B84E57">
        <w:t>-s</w:t>
      </w:r>
      <w:r w:rsidRPr="00890B16">
        <w:t>quare tests of independence were also conducted on binned unemployment change variables to assess statistical association, but none of the demographic groups demonstrated significant relationships with market direction.</w:t>
      </w:r>
    </w:p>
    <w:p w14:paraId="04523CC0" w14:textId="20FC40DC" w:rsidR="007F3585" w:rsidRPr="00890B16" w:rsidRDefault="00E25896" w:rsidP="00E25896">
      <w:pPr>
        <w:spacing w:after="160" w:line="278" w:lineRule="auto"/>
      </w:pPr>
      <w:r w:rsidRPr="00890B16">
        <w:t>Overall, the analysis does not support the hypothesis that changes in demographic</w:t>
      </w:r>
      <w:r w:rsidR="00B84E57">
        <w:t>-</w:t>
      </w:r>
      <w:r w:rsidRPr="00890B16">
        <w:t>specific unemployment rates can predict movements in the S&amp;P 500. Across all methods tested, the models failed to deliver consistent, meaningful, or interpretable results. While unemployment rates are undeniably important economic indicators, their predictive value for short</w:t>
      </w:r>
      <w:r w:rsidR="00B84E57">
        <w:t>-</w:t>
      </w:r>
      <w:r w:rsidRPr="00890B16">
        <w:t>term stock market movements appears limited when disaggregated by demographic group. Instead, market behavior seems to respond more strongly to broader, system</w:t>
      </w:r>
      <w:r w:rsidR="00B84E57">
        <w:t>-</w:t>
      </w:r>
      <w:r w:rsidRPr="00890B16">
        <w:t>wide economic conditions. Future research in this area may be better served by focusing on comprehensive macroeconomic indicators</w:t>
      </w:r>
      <w:r w:rsidR="00B84E57">
        <w:t xml:space="preserve">, </w:t>
      </w:r>
      <w:r w:rsidRPr="00890B16">
        <w:t>such as inflation rates, interest rate changes, or consumer sentiment</w:t>
      </w:r>
      <w:r w:rsidR="00B84E57">
        <w:t xml:space="preserve">, </w:t>
      </w:r>
      <w:r w:rsidRPr="00890B16">
        <w:t>that more directly reflect market</w:t>
      </w:r>
      <w:r w:rsidR="00B84E57">
        <w:t>-</w:t>
      </w:r>
      <w:r w:rsidRPr="00890B16">
        <w:t>relevant economic dynamics.</w:t>
      </w:r>
    </w:p>
    <w:p w14:paraId="1F95041B" w14:textId="0FB62B90" w:rsidR="00E25896" w:rsidRDefault="00E25896" w:rsidP="00E25896"/>
    <w:p w14:paraId="2E51A748" w14:textId="6F09FB7E" w:rsidR="00472446" w:rsidRDefault="00DC6D59">
      <w:pPr>
        <w:rPr>
          <w:i/>
        </w:rPr>
      </w:pPr>
      <w:r w:rsidRPr="00DC6D59">
        <w:rPr>
          <w:i/>
          <w:iCs/>
        </w:rPr>
        <w:t>3.3 Model Accuracy based on large economic event</w:t>
      </w:r>
    </w:p>
    <w:p w14:paraId="03075BEF" w14:textId="77777777" w:rsidR="00DC6D59" w:rsidRPr="00DC6D59" w:rsidRDefault="00DC6D59">
      <w:pPr>
        <w:rPr>
          <w:i/>
          <w:iCs/>
        </w:rPr>
      </w:pPr>
    </w:p>
    <w:p w14:paraId="72A5F813" w14:textId="44004B9E" w:rsidR="00EC4F97" w:rsidRDefault="002E2A6D" w:rsidP="00EC4F97">
      <w:r w:rsidRPr="000D2908">
        <w:rPr>
          <w:b/>
          <w:bCs/>
        </w:rPr>
        <w:drawing>
          <wp:anchor distT="0" distB="0" distL="114300" distR="114300" simplePos="0" relativeHeight="251658247" behindDoc="0" locked="0" layoutInCell="1" allowOverlap="1" wp14:anchorId="5127408E" wp14:editId="33041443">
            <wp:simplePos x="0" y="0"/>
            <wp:positionH relativeFrom="margin">
              <wp:align>center</wp:align>
            </wp:positionH>
            <wp:positionV relativeFrom="paragraph">
              <wp:posOffset>1829793</wp:posOffset>
            </wp:positionV>
            <wp:extent cx="3514090" cy="2252980"/>
            <wp:effectExtent l="0" t="0" r="0" b="0"/>
            <wp:wrapTopAndBottom/>
            <wp:docPr id="126283665" name="Picture 1" descr="A diagram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2401" name="Picture 1" descr="A diagram of a map&#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514090" cy="2252980"/>
                    </a:xfrm>
                    <a:prstGeom prst="rect">
                      <a:avLst/>
                    </a:prstGeom>
                  </pic:spPr>
                </pic:pic>
              </a:graphicData>
            </a:graphic>
            <wp14:sizeRelH relativeFrom="margin">
              <wp14:pctWidth>0</wp14:pctWidth>
            </wp14:sizeRelH>
            <wp14:sizeRelV relativeFrom="margin">
              <wp14:pctHeight>0</wp14:pctHeight>
            </wp14:sizeRelV>
          </wp:anchor>
        </w:drawing>
      </w:r>
      <w:r w:rsidR="00EC4F97" w:rsidRPr="00EC4F97">
        <w:t xml:space="preserve">The data presented across the charts and statistical summaries </w:t>
      </w:r>
      <w:r w:rsidR="00B84E57">
        <w:t>highlight</w:t>
      </w:r>
      <w:r w:rsidR="00EC4F97" w:rsidRPr="00EC4F97">
        <w:t xml:space="preserve"> an important observation: while there appears to be some level of statistical significance in the relationship between demographic unemployment rates and economic indicators, there is no consistent or direct correlation between unemployment rates and S&amp;P 500 performance across all groups. The sharp rise in unemployment rates during the 2008 recession, as seen across male, female, and racial groups, reflects a systemic economic collapse rather than market</w:t>
      </w:r>
      <w:r w:rsidR="00B84E57">
        <w:t>-</w:t>
      </w:r>
      <w:r w:rsidR="00EC4F97" w:rsidRPr="00EC4F97">
        <w:t>specific behavior. Each demographic showed increases in unemployment,</w:t>
      </w:r>
      <w:r w:rsidR="00EC4F97">
        <w:t xml:space="preserve"> </w:t>
      </w:r>
      <w:r w:rsidR="00EC4F97" w:rsidRPr="00EC4F97">
        <w:t>but these movements followed the broader downturn caused by the collapse of financial institutions and housing markets, not by fluctuations in equity markets themselves.</w:t>
      </w:r>
    </w:p>
    <w:p w14:paraId="3FEABC16" w14:textId="2FA4C66D" w:rsidR="00C158D5" w:rsidRDefault="00C158D5" w:rsidP="00EC4F97"/>
    <w:p w14:paraId="17BE31BE" w14:textId="093F526E" w:rsidR="00C158D5" w:rsidRPr="00CB0E79" w:rsidRDefault="002E2A6D" w:rsidP="002E2A6D">
      <w:pPr>
        <w:jc w:val="center"/>
        <w:rPr>
          <w:i/>
        </w:rPr>
      </w:pPr>
      <w:r w:rsidRPr="00CB0E79">
        <w:rPr>
          <w:i/>
        </w:rPr>
        <w:t xml:space="preserve">Table </w:t>
      </w:r>
      <w:r w:rsidR="0068310C">
        <w:rPr>
          <w:i/>
          <w:iCs/>
        </w:rPr>
        <w:t>10</w:t>
      </w:r>
      <w:r w:rsidRPr="00CB0E79">
        <w:rPr>
          <w:i/>
        </w:rPr>
        <w:t>: Scatter plot between unemployment rate and S&amp;P performance during recession</w:t>
      </w:r>
    </w:p>
    <w:p w14:paraId="42F38520" w14:textId="60A36AFC" w:rsidR="00EC4F97" w:rsidRPr="00EC4F97" w:rsidRDefault="00EC4F97" w:rsidP="00EC4F97"/>
    <w:p w14:paraId="642AD4EE" w14:textId="26B4CE34" w:rsidR="00EC4F97" w:rsidRDefault="00EC4F97" w:rsidP="00EC4F97">
      <w:r w:rsidRPr="00EC4F97">
        <w:t>The S&amp;P 500 vs. Unemployment scatterplot further emphasizes this disconnect. Rather than showing a linear or strongly correlated trend, the data points are widely dispersed, indicating that high or low unemployment rates did not reliably align with specific levels of the S&amp;P 500 index. This dispersion undermines any claim of a direct relationship. The S&amp;P 500 is forward</w:t>
      </w:r>
      <w:r w:rsidR="00B84E57">
        <w:t>-</w:t>
      </w:r>
      <w:r w:rsidRPr="00EC4F97">
        <w:t>looking and often buoyed by investor sentiment, monetary policy, and corporate earnings expectations, while unemployment is a lagging indicator that reflects deeper</w:t>
      </w:r>
      <w:r w:rsidR="00B84E57">
        <w:t>-</w:t>
      </w:r>
      <w:r w:rsidRPr="00EC4F97">
        <w:t xml:space="preserve">rooted labor market responses to past economic conditions. This difference in behavior contributes to their </w:t>
      </w:r>
      <w:r>
        <w:t>unaligned</w:t>
      </w:r>
      <w:r w:rsidRPr="00EC4F97">
        <w:t xml:space="preserve"> patterns.</w:t>
      </w:r>
    </w:p>
    <w:p w14:paraId="5A762767" w14:textId="77777777" w:rsidR="00EC4F97" w:rsidRPr="00EC4F97" w:rsidRDefault="00EC4F97" w:rsidP="00EC4F97"/>
    <w:p w14:paraId="2A0DAA2F" w14:textId="77777777" w:rsidR="00C158D5" w:rsidRDefault="00EC4F97" w:rsidP="00EC4F97">
      <w:r w:rsidRPr="00EC4F97">
        <w:t xml:space="preserve">When considering the 2008 financial crisis specifically, both unemployment and the S&amp;P 500 were responding to the same underlying cause: a profound collapse in the U.S. economic structure, fueled by risky mortgage lending, financial deregulation, and banking failures. This shared origin explains why both metrics reacted dramatically, but it does not mean they are </w:t>
      </w:r>
    </w:p>
    <w:p w14:paraId="513FCD13" w14:textId="77777777" w:rsidR="00C158D5" w:rsidRDefault="00C158D5" w:rsidP="00EC4F97"/>
    <w:p w14:paraId="1D9CFF7B" w14:textId="77777777" w:rsidR="00C158D5" w:rsidRDefault="00C158D5" w:rsidP="00EC4F97"/>
    <w:p w14:paraId="097DBBC1" w14:textId="1373D076" w:rsidR="00EB4F34" w:rsidRDefault="00EC4F97" w:rsidP="00EC4F97">
      <w:r w:rsidRPr="00EC4F97">
        <w:t>causally linked to one another. Instead, the economic event itself acted as the driver of both unemployment spikes and market declines. It is more accurate to say that large</w:t>
      </w:r>
      <w:r w:rsidR="00B84E57">
        <w:t>-</w:t>
      </w:r>
      <w:r w:rsidRPr="00EC4F97">
        <w:t xml:space="preserve">scale economic </w:t>
      </w:r>
    </w:p>
    <w:p w14:paraId="744C7562" w14:textId="77777777" w:rsidR="00EB4F34" w:rsidRDefault="00EB4F34" w:rsidP="00EC4F97"/>
    <w:p w14:paraId="1E215AA3" w14:textId="77777777" w:rsidR="00EB4F34" w:rsidRDefault="00EB4F34" w:rsidP="00EC4F97"/>
    <w:p w14:paraId="00D84655" w14:textId="2492C5D9" w:rsidR="00C158D5" w:rsidRDefault="00C158D5" w:rsidP="00EC4F97">
      <w:r w:rsidRPr="00050051">
        <w:rPr>
          <w:b/>
          <w:bCs/>
        </w:rPr>
        <w:drawing>
          <wp:inline distT="0" distB="0" distL="0" distR="0" wp14:anchorId="2DBCD107" wp14:editId="66CD2D98">
            <wp:extent cx="5943600" cy="2933700"/>
            <wp:effectExtent l="0" t="0" r="0" b="0"/>
            <wp:docPr id="148071086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10012" name="Picture 1" descr="A graph of different colored lines&#10;&#10;AI-generated content may be incorrect."/>
                    <pic:cNvPicPr/>
                  </pic:nvPicPr>
                  <pic:blipFill>
                    <a:blip r:embed="rId20"/>
                    <a:stretch>
                      <a:fillRect/>
                    </a:stretch>
                  </pic:blipFill>
                  <pic:spPr>
                    <a:xfrm>
                      <a:off x="0" y="0"/>
                      <a:ext cx="5943600" cy="2933700"/>
                    </a:xfrm>
                    <a:prstGeom prst="rect">
                      <a:avLst/>
                    </a:prstGeom>
                  </pic:spPr>
                </pic:pic>
              </a:graphicData>
            </a:graphic>
          </wp:inline>
        </w:drawing>
      </w:r>
    </w:p>
    <w:p w14:paraId="6672F4EA" w14:textId="78AE3DF8" w:rsidR="002E2A6D" w:rsidRPr="00175866" w:rsidRDefault="002E2A6D" w:rsidP="002E2A6D">
      <w:pPr>
        <w:jc w:val="center"/>
        <w:rPr>
          <w:i/>
        </w:rPr>
      </w:pPr>
      <w:r w:rsidRPr="00175866">
        <w:rPr>
          <w:i/>
          <w:iCs/>
        </w:rPr>
        <w:t>Table</w:t>
      </w:r>
      <w:r w:rsidR="00CB0E79" w:rsidRPr="00175866">
        <w:rPr>
          <w:i/>
          <w:iCs/>
        </w:rPr>
        <w:t xml:space="preserve"> 1</w:t>
      </w:r>
      <w:r w:rsidR="0068310C">
        <w:rPr>
          <w:i/>
          <w:iCs/>
        </w:rPr>
        <w:t>1</w:t>
      </w:r>
      <w:r w:rsidR="00CB0E79" w:rsidRPr="00175866">
        <w:rPr>
          <w:i/>
          <w:iCs/>
        </w:rPr>
        <w:t xml:space="preserve">: </w:t>
      </w:r>
      <w:r w:rsidR="00175866" w:rsidRPr="00175866">
        <w:rPr>
          <w:i/>
          <w:iCs/>
        </w:rPr>
        <w:t>Showcasing spikes in unemployment during the 2008 recession</w:t>
      </w:r>
    </w:p>
    <w:p w14:paraId="0AE0A1F2" w14:textId="77777777" w:rsidR="00C158D5" w:rsidRDefault="00C158D5" w:rsidP="00EC4F97"/>
    <w:p w14:paraId="4BA5A183" w14:textId="77777777" w:rsidR="00C158D5" w:rsidRDefault="00C158D5" w:rsidP="00EC4F97"/>
    <w:p w14:paraId="5A379B2E" w14:textId="009EDB76" w:rsidR="00EC4F97" w:rsidRDefault="00EC4F97" w:rsidP="00EC4F97">
      <w:r w:rsidRPr="00EC4F97">
        <w:t>disruptions steer both metrics in the same direction, rather than claiming one reliably predicts or causes the other.</w:t>
      </w:r>
    </w:p>
    <w:p w14:paraId="559AD57B" w14:textId="77777777" w:rsidR="007F3585" w:rsidRPr="00EC4F97" w:rsidRDefault="007F3585" w:rsidP="00EC4F97"/>
    <w:p w14:paraId="59B91319" w14:textId="77777777" w:rsidR="00523BD3" w:rsidRDefault="00EC4F97" w:rsidP="00EC4F97">
      <w:r w:rsidRPr="00EC4F97">
        <w:t>The t</w:t>
      </w:r>
      <w:r w:rsidR="00FA532F">
        <w:t>,</w:t>
      </w:r>
      <w:r w:rsidR="00AA7A4F">
        <w:t xml:space="preserve"> t-statistics</w:t>
      </w:r>
      <w:r w:rsidRPr="00EC4F97">
        <w:t xml:space="preserve"> and p</w:t>
      </w:r>
      <w:r w:rsidR="00FA532F">
        <w:t>,</w:t>
      </w:r>
      <w:r w:rsidR="00AA7A4F">
        <w:t xml:space="preserve"> p-values</w:t>
      </w:r>
      <w:r w:rsidRPr="00EC4F97">
        <w:t xml:space="preserve"> associated with unemployment data across demographic groups confirm </w:t>
      </w:r>
      <w:r w:rsidR="00AA7A4F">
        <w:t xml:space="preserve">that </w:t>
      </w:r>
      <w:r w:rsidRPr="00EC4F97">
        <w:t>changes were statistically significant, especially during the recession period. However, statistical significance here reflects how sharply unemployment rose during a crisis</w:t>
      </w:r>
      <w:r w:rsidR="00523BD3">
        <w:t xml:space="preserve">, </w:t>
      </w:r>
      <w:r w:rsidRPr="00EC4F97">
        <w:t xml:space="preserve">it doesn’t imply causation with S&amp;P 500 trends. </w:t>
      </w:r>
    </w:p>
    <w:p w14:paraId="2B5D388B" w14:textId="77777777" w:rsidR="00523BD3" w:rsidRDefault="00523BD3" w:rsidP="00EC4F97"/>
    <w:p w14:paraId="2249230E" w14:textId="2C1E8EE9" w:rsidR="00EC4F97" w:rsidRPr="00EC4F97" w:rsidRDefault="00EC4F97" w:rsidP="00EC4F97">
      <w:r w:rsidRPr="00EC4F97">
        <w:t>In truth, both unemployment and equity market performance are co</w:t>
      </w:r>
      <w:r w:rsidR="00AA7A4F">
        <w:t>-</w:t>
      </w:r>
      <w:r w:rsidRPr="00EC4F97">
        <w:t>moved by macroeconomic health. Pandemics, recessions, or geopolitical instability influence consumer behavior, investor confidence, business investment, and job creation all at once. Therefore, the most accurate model recognizes that the health of the American economy is the root driver behind these seemingly related indicators</w:t>
      </w:r>
      <w:r w:rsidR="00AA7A4F">
        <w:t xml:space="preserve">, </w:t>
      </w:r>
      <w:r w:rsidRPr="00EC4F97">
        <w:t>not the indicators themselves driving each other.</w:t>
      </w:r>
    </w:p>
    <w:p w14:paraId="4E8BA2BC" w14:textId="3C929E17" w:rsidR="00F61197" w:rsidRDefault="00F61197">
      <w:pPr>
        <w:rPr>
          <w:b/>
          <w:bCs/>
        </w:rPr>
      </w:pPr>
    </w:p>
    <w:p w14:paraId="31B75DC4" w14:textId="0847B1B5" w:rsidR="00F61197" w:rsidRDefault="00805846">
      <w:pPr>
        <w:rPr>
          <w:b/>
          <w:bCs/>
        </w:rPr>
      </w:pPr>
      <w:r>
        <w:rPr>
          <w:b/>
          <w:bCs/>
        </w:rPr>
        <w:t xml:space="preserve">4. </w:t>
      </w:r>
      <w:r w:rsidR="00F61197">
        <w:rPr>
          <w:b/>
          <w:bCs/>
        </w:rPr>
        <w:t>Concl</w:t>
      </w:r>
      <w:r w:rsidR="0091607E">
        <w:rPr>
          <w:b/>
          <w:bCs/>
        </w:rPr>
        <w:t>usion</w:t>
      </w:r>
    </w:p>
    <w:p w14:paraId="3214F40B" w14:textId="77777777" w:rsidR="00ED1B9D" w:rsidRPr="00AB14A6" w:rsidRDefault="00ED1B9D" w:rsidP="00ED1B9D">
      <w:pPr>
        <w:spacing w:before="100" w:beforeAutospacing="1" w:after="100" w:afterAutospacing="1"/>
        <w:rPr>
          <w:rFonts w:eastAsia="Times New Roman" w:cstheme="minorHAnsi"/>
          <w:kern w:val="0"/>
          <w14:ligatures w14:val="none"/>
        </w:rPr>
      </w:pPr>
      <w:r w:rsidRPr="00AB14A6">
        <w:rPr>
          <w:rFonts w:eastAsia="Times New Roman" w:cstheme="minorHAnsi"/>
          <w:kern w:val="0"/>
          <w14:ligatures w14:val="none"/>
        </w:rPr>
        <w:t>In this project, we analyzed three core aspects of unemployment rates and economic market trends:</w:t>
      </w:r>
      <w:r>
        <w:rPr>
          <w:rFonts w:eastAsia="Times New Roman" w:cstheme="minorHAnsi"/>
          <w:kern w:val="0"/>
          <w14:ligatures w14:val="none"/>
        </w:rPr>
        <w:t xml:space="preserve"> </w:t>
      </w:r>
      <w:r w:rsidRPr="00AB14A6">
        <w:rPr>
          <w:rFonts w:eastAsia="Times New Roman" w:cstheme="minorHAnsi"/>
          <w:kern w:val="0"/>
          <w14:ligatures w14:val="none"/>
        </w:rPr>
        <w:t>the overall correlation between unemployment across demographic groups and the S&amp;P 500 index,</w:t>
      </w:r>
      <w:r>
        <w:rPr>
          <w:rFonts w:eastAsia="Times New Roman" w:cstheme="minorHAnsi"/>
          <w:kern w:val="0"/>
          <w14:ligatures w14:val="none"/>
        </w:rPr>
        <w:t xml:space="preserve"> </w:t>
      </w:r>
      <w:r w:rsidRPr="00AB14A6">
        <w:rPr>
          <w:rFonts w:eastAsia="Times New Roman" w:cstheme="minorHAnsi"/>
          <w:kern w:val="0"/>
          <w14:ligatures w14:val="none"/>
        </w:rPr>
        <w:t xml:space="preserve">how specific demographics respond to rising or </w:t>
      </w:r>
      <w:r>
        <w:rPr>
          <w:rFonts w:eastAsia="Times New Roman" w:cstheme="minorHAnsi"/>
          <w:kern w:val="0"/>
          <w14:ligatures w14:val="none"/>
        </w:rPr>
        <w:t xml:space="preserve">falling of the S&amp;P 500 Index, </w:t>
      </w:r>
      <w:r w:rsidRPr="00AB14A6">
        <w:rPr>
          <w:rFonts w:eastAsia="Times New Roman" w:cstheme="minorHAnsi"/>
          <w:kern w:val="0"/>
          <w14:ligatures w14:val="none"/>
        </w:rPr>
        <w:t>and</w:t>
      </w:r>
      <w:r w:rsidRPr="00AB14A6">
        <w:rPr>
          <w:rFonts w:eastAsia="Times New Roman" w:cstheme="minorHAnsi"/>
          <w:kern w:val="0"/>
          <w14:ligatures w14:val="none"/>
        </w:rPr>
        <w:br/>
        <w:t>how these relationships change during major economic events such as the 2008 recession.</w:t>
      </w:r>
    </w:p>
    <w:p w14:paraId="68E32422" w14:textId="77777777" w:rsidR="00ED1B9D" w:rsidRPr="00AB14A6" w:rsidRDefault="00ED1B9D" w:rsidP="00ED1B9D">
      <w:pPr>
        <w:spacing w:before="100" w:beforeAutospacing="1" w:after="100" w:afterAutospacing="1"/>
        <w:rPr>
          <w:rFonts w:eastAsia="Times New Roman" w:cstheme="minorHAnsi"/>
          <w:kern w:val="0"/>
          <w14:ligatures w14:val="none"/>
        </w:rPr>
      </w:pPr>
      <w:r w:rsidRPr="00AB14A6">
        <w:rPr>
          <w:rFonts w:eastAsia="Times New Roman" w:cstheme="minorHAnsi"/>
          <w:kern w:val="0"/>
          <w14:ligatures w14:val="none"/>
        </w:rPr>
        <w:t>In summary, based on the analysis questions presented in our proposal, we found the following results:</w:t>
      </w:r>
    </w:p>
    <w:p w14:paraId="78FDA867" w14:textId="3F58447F" w:rsidR="000155E9" w:rsidRPr="00AB14A6" w:rsidRDefault="009E71BB" w:rsidP="00ED1B9D">
      <w:pPr>
        <w:numPr>
          <w:ilvl w:val="0"/>
          <w:numId w:val="3"/>
        </w:numPr>
        <w:spacing w:before="100" w:beforeAutospacing="1" w:after="100" w:afterAutospacing="1"/>
        <w:rPr>
          <w:rFonts w:eastAsia="Times New Roman" w:cstheme="minorHAnsi"/>
          <w:kern w:val="0"/>
          <w14:ligatures w14:val="none"/>
        </w:rPr>
      </w:pPr>
      <w:r w:rsidRPr="00AB14A6">
        <w:rPr>
          <w:rFonts w:eastAsia="Times New Roman" w:cstheme="minorHAnsi"/>
          <w:b/>
          <w:kern w:val="0"/>
          <w14:ligatures w14:val="none"/>
        </w:rPr>
        <w:t>How do fluctuations in unemployment rates across various demographic groups correlate with the performance of the S&amp;P 500 index?</w:t>
      </w:r>
    </w:p>
    <w:p w14:paraId="05645577" w14:textId="77777777" w:rsidR="00ED1B9D" w:rsidRPr="00AB14A6" w:rsidRDefault="00ED1B9D" w:rsidP="00ED1B9D">
      <w:pPr>
        <w:spacing w:before="100" w:beforeAutospacing="1" w:after="100" w:afterAutospacing="1"/>
        <w:ind w:left="720"/>
        <w:rPr>
          <w:rFonts w:eastAsia="Times New Roman" w:cstheme="minorHAnsi"/>
          <w:kern w:val="0"/>
          <w14:ligatures w14:val="none"/>
        </w:rPr>
      </w:pPr>
      <w:r w:rsidRPr="00AB14A6">
        <w:rPr>
          <w:rFonts w:eastAsia="Times New Roman" w:cstheme="minorHAnsi"/>
          <w:kern w:val="0"/>
          <w14:ligatures w14:val="none"/>
        </w:rPr>
        <w:br/>
        <w:t>Our analysis revealed a limited correlation between unemployment in various demographic groups and the average performance of the S&amp;P 500.</w:t>
      </w:r>
    </w:p>
    <w:p w14:paraId="752F5FAA" w14:textId="77777777" w:rsidR="00ED1B9D" w:rsidRPr="00AB14A6" w:rsidRDefault="00ED1B9D" w:rsidP="00ED1B9D">
      <w:pPr>
        <w:numPr>
          <w:ilvl w:val="0"/>
          <w:numId w:val="3"/>
        </w:numPr>
        <w:spacing w:before="100" w:beforeAutospacing="1" w:after="100" w:afterAutospacing="1"/>
        <w:rPr>
          <w:rFonts w:eastAsia="Times New Roman" w:cstheme="minorHAnsi"/>
          <w:kern w:val="0"/>
          <w14:ligatures w14:val="none"/>
        </w:rPr>
      </w:pPr>
      <w:r w:rsidRPr="00AB14A6">
        <w:rPr>
          <w:rFonts w:eastAsia="Times New Roman" w:cstheme="minorHAnsi"/>
          <w:b/>
          <w:bCs/>
          <w:kern w:val="0"/>
          <w14:ligatures w14:val="none"/>
        </w:rPr>
        <w:t>If the S&amp;P 500 is increasing or decreasing, which demographic is most closely related to the S&amp;P performance?</w:t>
      </w:r>
    </w:p>
    <w:p w14:paraId="3575E7C2" w14:textId="77777777" w:rsidR="00ED1B9D" w:rsidRPr="00AB14A6" w:rsidRDefault="00ED1B9D" w:rsidP="00ED1B9D">
      <w:pPr>
        <w:spacing w:before="100" w:beforeAutospacing="1" w:after="100" w:afterAutospacing="1"/>
        <w:ind w:left="720"/>
        <w:rPr>
          <w:rFonts w:eastAsia="Times New Roman" w:cstheme="minorHAnsi"/>
          <w:kern w:val="0"/>
          <w14:ligatures w14:val="none"/>
        </w:rPr>
      </w:pPr>
      <w:r w:rsidRPr="00AB14A6">
        <w:rPr>
          <w:rFonts w:eastAsia="Times New Roman" w:cstheme="minorHAnsi"/>
          <w:kern w:val="0"/>
          <w14:ligatures w14:val="none"/>
        </w:rPr>
        <w:br/>
        <w:t>There is moderate correlation between a declining S&amp;P 500 and increases in unemployment among teenagers. However, there is little observable correlation between S&amp;P 500 increases and changes in any particular demographic group’s unemployment rate.</w:t>
      </w:r>
    </w:p>
    <w:p w14:paraId="0748BFA4" w14:textId="77777777" w:rsidR="00ED1B9D" w:rsidRPr="00AB14A6" w:rsidRDefault="00ED1B9D" w:rsidP="00ED1B9D">
      <w:pPr>
        <w:numPr>
          <w:ilvl w:val="0"/>
          <w:numId w:val="3"/>
        </w:numPr>
        <w:spacing w:before="100" w:beforeAutospacing="1" w:after="100" w:afterAutospacing="1"/>
        <w:rPr>
          <w:rFonts w:eastAsia="Times New Roman" w:cstheme="minorHAnsi"/>
          <w:kern w:val="0"/>
          <w14:ligatures w14:val="none"/>
        </w:rPr>
      </w:pPr>
      <w:r w:rsidRPr="00AB14A6">
        <w:rPr>
          <w:rFonts w:eastAsia="Times New Roman" w:cstheme="minorHAnsi"/>
          <w:b/>
          <w:bCs/>
          <w:kern w:val="0"/>
          <w14:ligatures w14:val="none"/>
        </w:rPr>
        <w:t>Honing specifically on a large economic event (e.g., the 2008 recession), is our model more accurate?</w:t>
      </w:r>
    </w:p>
    <w:p w14:paraId="62C5AD8B" w14:textId="6A7CC9B8" w:rsidR="00ED1B9D" w:rsidRPr="00AB14A6" w:rsidRDefault="00ED1B9D" w:rsidP="001B6CD7">
      <w:pPr>
        <w:spacing w:before="100" w:beforeAutospacing="1" w:after="100" w:afterAutospacing="1"/>
        <w:ind w:left="720"/>
        <w:rPr>
          <w:rFonts w:eastAsia="Times New Roman" w:cstheme="minorHAnsi"/>
          <w:kern w:val="0"/>
          <w14:ligatures w14:val="none"/>
        </w:rPr>
      </w:pPr>
      <w:r w:rsidRPr="00AB14A6">
        <w:rPr>
          <w:rFonts w:eastAsia="Times New Roman" w:cstheme="minorHAnsi"/>
          <w:kern w:val="0"/>
          <w14:ligatures w14:val="none"/>
        </w:rPr>
        <w:t>During the 2008 recession, the correlation between the S&amp;P 500 and unemployment rates among demographic groups strengthened. However, both trends were likely responding to a larger macroeconomic force</w:t>
      </w:r>
      <w:r>
        <w:rPr>
          <w:rFonts w:eastAsia="Times New Roman" w:cstheme="minorHAnsi"/>
          <w:kern w:val="0"/>
          <w14:ligatures w14:val="none"/>
        </w:rPr>
        <w:t xml:space="preserve"> (</w:t>
      </w:r>
      <w:r w:rsidRPr="00AB14A6">
        <w:rPr>
          <w:rFonts w:eastAsia="Times New Roman" w:cstheme="minorHAnsi"/>
          <w:kern w:val="0"/>
          <w14:ligatures w14:val="none"/>
        </w:rPr>
        <w:t>the recession itself</w:t>
      </w:r>
      <w:r>
        <w:rPr>
          <w:rFonts w:eastAsia="Times New Roman" w:cstheme="minorHAnsi"/>
          <w:kern w:val="0"/>
          <w14:ligatures w14:val="none"/>
        </w:rPr>
        <w:t xml:space="preserve">) </w:t>
      </w:r>
      <w:r w:rsidRPr="00AB14A6">
        <w:rPr>
          <w:rFonts w:eastAsia="Times New Roman" w:cstheme="minorHAnsi"/>
          <w:kern w:val="0"/>
          <w14:ligatures w14:val="none"/>
        </w:rPr>
        <w:t>rather than influencing one another directly.</w:t>
      </w:r>
    </w:p>
    <w:p w14:paraId="7080B305" w14:textId="77777777" w:rsidR="00ED1B9D" w:rsidRPr="00AB14A6" w:rsidRDefault="00ED1B9D" w:rsidP="00ED1B9D">
      <w:pPr>
        <w:spacing w:before="100" w:beforeAutospacing="1" w:after="100" w:afterAutospacing="1"/>
        <w:rPr>
          <w:rFonts w:eastAsia="Times New Roman" w:cstheme="minorHAnsi"/>
          <w:kern w:val="0"/>
          <w14:ligatures w14:val="none"/>
        </w:rPr>
      </w:pPr>
      <w:r w:rsidRPr="00AB14A6">
        <w:rPr>
          <w:rFonts w:eastAsia="Times New Roman" w:cstheme="minorHAnsi"/>
          <w:kern w:val="0"/>
          <w14:ligatures w14:val="none"/>
        </w:rPr>
        <w:t>This project faced a few limitations, including the absence of additional economic indicators (e.g., interest rates, inflation, consumer spending</w:t>
      </w:r>
      <w:r>
        <w:rPr>
          <w:rFonts w:eastAsia="Times New Roman" w:cstheme="minorHAnsi"/>
          <w:kern w:val="0"/>
          <w14:ligatures w14:val="none"/>
        </w:rPr>
        <w:t>, other macroeconomic events</w:t>
      </w:r>
      <w:r w:rsidRPr="00AB14A6">
        <w:rPr>
          <w:rFonts w:eastAsia="Times New Roman" w:cstheme="minorHAnsi"/>
          <w:kern w:val="0"/>
          <w14:ligatures w14:val="none"/>
        </w:rPr>
        <w:t>) that could provide a more complete picture. The inclusion of such variables could strengthen correlations and improve the robustness of the models. Future work should focus on incorporating 3–4 additional datasets</w:t>
      </w:r>
      <w:r>
        <w:rPr>
          <w:rFonts w:eastAsia="Times New Roman" w:cstheme="minorHAnsi"/>
          <w:kern w:val="0"/>
          <w14:ligatures w14:val="none"/>
        </w:rPr>
        <w:t xml:space="preserve"> (</w:t>
      </w:r>
      <w:r w:rsidRPr="00AB14A6">
        <w:rPr>
          <w:rFonts w:eastAsia="Times New Roman" w:cstheme="minorHAnsi"/>
          <w:kern w:val="0"/>
          <w14:ligatures w14:val="none"/>
        </w:rPr>
        <w:t>either scraped from reputable sources or downloaded</w:t>
      </w:r>
      <w:r>
        <w:rPr>
          <w:rFonts w:eastAsia="Times New Roman" w:cstheme="minorHAnsi"/>
          <w:kern w:val="0"/>
          <w14:ligatures w14:val="none"/>
        </w:rPr>
        <w:t xml:space="preserve">) </w:t>
      </w:r>
      <w:r w:rsidRPr="00AB14A6">
        <w:rPr>
          <w:rFonts w:eastAsia="Times New Roman" w:cstheme="minorHAnsi"/>
          <w:kern w:val="0"/>
          <w14:ligatures w14:val="none"/>
        </w:rPr>
        <w:t>to enhance predictive power and contextual depth.</w:t>
      </w:r>
    </w:p>
    <w:p w14:paraId="3EC1222A" w14:textId="400F4650" w:rsidR="00E43712" w:rsidRPr="00AB14A6" w:rsidRDefault="00E43712" w:rsidP="00E43712">
      <w:pPr>
        <w:spacing w:before="100" w:beforeAutospacing="1" w:after="100" w:afterAutospacing="1"/>
        <w:rPr>
          <w:rFonts w:eastAsia="Times New Roman" w:cstheme="minorHAnsi"/>
          <w:kern w:val="0"/>
          <w14:ligatures w14:val="none"/>
        </w:rPr>
      </w:pPr>
      <w:r w:rsidRPr="00AB14A6">
        <w:rPr>
          <w:rFonts w:eastAsia="Times New Roman" w:cstheme="minorHAnsi"/>
          <w:kern w:val="0"/>
          <w14:ligatures w14:val="none"/>
        </w:rPr>
        <w:t>Although our models often produced weak correlations between unemployment and S&amp;P 500 performance, this is a meaningful insight. It suggests that while both the labor market and the stock market are central to the economy, they tend to operate on different timescales and respond to different forces. Therefore, policymakers and investors should be cautious in assuming a strong direct relationship between the two. Understanding this distinction can lead to more informed economic decisions and highlight the importance of analyzing multiple variables when evaluating national economic health.</w:t>
      </w:r>
    </w:p>
    <w:p w14:paraId="790137A8" w14:textId="77777777" w:rsidR="00E43712" w:rsidRPr="00AB14A6" w:rsidRDefault="00E43712" w:rsidP="00ED1B9D">
      <w:pPr>
        <w:spacing w:before="100" w:beforeAutospacing="1" w:after="100" w:afterAutospacing="1"/>
        <w:rPr>
          <w:rFonts w:eastAsia="Times New Roman" w:cstheme="minorHAnsi"/>
          <w:kern w:val="0"/>
          <w14:ligatures w14:val="none"/>
        </w:rPr>
      </w:pPr>
    </w:p>
    <w:p w14:paraId="44468714" w14:textId="77777777" w:rsidR="00050051" w:rsidRDefault="00050051">
      <w:pPr>
        <w:rPr>
          <w:b/>
          <w:bCs/>
        </w:rPr>
      </w:pPr>
    </w:p>
    <w:p w14:paraId="32780CF0" w14:textId="77777777" w:rsidR="00050051" w:rsidRDefault="00050051">
      <w:pPr>
        <w:rPr>
          <w:b/>
          <w:bCs/>
        </w:rPr>
      </w:pPr>
    </w:p>
    <w:p w14:paraId="6F2F7FBF" w14:textId="77777777" w:rsidR="00050051" w:rsidRDefault="00050051">
      <w:pPr>
        <w:rPr>
          <w:b/>
          <w:bCs/>
        </w:rPr>
      </w:pPr>
    </w:p>
    <w:p w14:paraId="455CE76E" w14:textId="77777777" w:rsidR="00050051" w:rsidRDefault="00050051">
      <w:pPr>
        <w:rPr>
          <w:b/>
          <w:bCs/>
        </w:rPr>
      </w:pPr>
    </w:p>
    <w:p w14:paraId="3432F28D" w14:textId="77777777" w:rsidR="00050051" w:rsidRDefault="00050051">
      <w:pPr>
        <w:rPr>
          <w:b/>
          <w:bCs/>
        </w:rPr>
      </w:pPr>
    </w:p>
    <w:p w14:paraId="28284A6D" w14:textId="77777777" w:rsidR="00050051" w:rsidRDefault="00050051">
      <w:pPr>
        <w:rPr>
          <w:b/>
          <w:bCs/>
        </w:rPr>
      </w:pPr>
    </w:p>
    <w:p w14:paraId="43A881DF" w14:textId="24642AC4" w:rsidR="00050051" w:rsidRDefault="00050051">
      <w:pPr>
        <w:rPr>
          <w:b/>
          <w:bCs/>
        </w:rPr>
      </w:pPr>
    </w:p>
    <w:p w14:paraId="36B79CF0" w14:textId="77777777" w:rsidR="000D2908" w:rsidRDefault="000D2908">
      <w:pPr>
        <w:rPr>
          <w:b/>
          <w:bCs/>
        </w:rPr>
      </w:pPr>
    </w:p>
    <w:p w14:paraId="2084A57B" w14:textId="31C96743" w:rsidR="00F61197" w:rsidRPr="00F61197" w:rsidRDefault="00F61197">
      <w:pPr>
        <w:rPr>
          <w:b/>
          <w:bCs/>
        </w:rPr>
      </w:pPr>
    </w:p>
    <w:sectPr w:rsidR="00F61197" w:rsidRPr="00F6119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807E0" w14:textId="77777777" w:rsidR="004D03F9" w:rsidRDefault="004D03F9" w:rsidP="00F61197">
      <w:r>
        <w:separator/>
      </w:r>
    </w:p>
  </w:endnote>
  <w:endnote w:type="continuationSeparator" w:id="0">
    <w:p w14:paraId="6F6C6966" w14:textId="77777777" w:rsidR="004D03F9" w:rsidRDefault="004D03F9" w:rsidP="00F61197">
      <w:r>
        <w:continuationSeparator/>
      </w:r>
    </w:p>
  </w:endnote>
  <w:endnote w:type="continuationNotice" w:id="1">
    <w:p w14:paraId="01A34513" w14:textId="77777777" w:rsidR="004D03F9" w:rsidRDefault="004D0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31C2" w14:textId="77777777" w:rsidR="004735C6" w:rsidRDefault="004735C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970AC9" w14:textId="77777777" w:rsidR="00194456" w:rsidRDefault="00194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3B3C0" w14:textId="77777777" w:rsidR="004D03F9" w:rsidRDefault="004D03F9" w:rsidP="00F61197">
      <w:r>
        <w:separator/>
      </w:r>
    </w:p>
  </w:footnote>
  <w:footnote w:type="continuationSeparator" w:id="0">
    <w:p w14:paraId="3E486330" w14:textId="77777777" w:rsidR="004D03F9" w:rsidRDefault="004D03F9" w:rsidP="00F61197">
      <w:r>
        <w:continuationSeparator/>
      </w:r>
    </w:p>
  </w:footnote>
  <w:footnote w:type="continuationNotice" w:id="1">
    <w:p w14:paraId="1EA67E36" w14:textId="77777777" w:rsidR="004D03F9" w:rsidRDefault="004D03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F49A" w14:textId="166AD1E4" w:rsidR="00F61197" w:rsidRDefault="00F61197">
    <w:pPr>
      <w:pStyle w:val="Header"/>
    </w:pPr>
    <w:r>
      <w:rPr>
        <w:noProof/>
        <w:lang w:eastAsia="zh-CN"/>
      </w:rPr>
      <mc:AlternateContent>
        <mc:Choice Requires="wps">
          <w:drawing>
            <wp:anchor distT="0" distB="0" distL="118745" distR="118745" simplePos="0" relativeHeight="251658240" behindDoc="1" locked="0" layoutInCell="1" allowOverlap="0" wp14:anchorId="2AF0E6DC" wp14:editId="4A49C2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1905"/>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9293BD" w14:textId="218B2765" w:rsidR="00F61197" w:rsidRDefault="004D03F9">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12552">
                                <w:rPr>
                                  <w:caps/>
                                  <w:color w:val="FFFFFF" w:themeColor="background1"/>
                                </w:rPr>
                                <w:t>Final Report | U.s. Unemployment Rates and S&amp;P 500 Trends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F0E6DC" id="Rectangle 6"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p w14:paraId="479293BD" w14:textId="218B2765" w:rsidR="00F61197" w:rsidRDefault="004D03F9">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12552">
                          <w:rPr>
                            <w:caps/>
                            <w:color w:val="FFFFFF" w:themeColor="background1"/>
                          </w:rPr>
                          <w:t>Final Report | U.s. Unemployment Rates and S&amp;P 500 Trends</w:t>
                        </w:r>
                      </w:sdtContent>
                    </w:sdt>
                  </w:p>
                </w:txbxContent>
              </v:textbox>
              <w10:wrap type="square" anchorx="margin" anchory="page"/>
            </v:rect>
          </w:pict>
        </mc:Fallback>
      </mc:AlternateContent>
    </w:r>
    <w:r>
      <w:t>May 8</w:t>
    </w:r>
    <w:r w:rsidRPr="00F61197">
      <w:rPr>
        <w:vertAlign w:val="superscript"/>
      </w:rPr>
      <w:t>th</w:t>
    </w:r>
    <w:r>
      <w:t xml:space="preserve">, </w:t>
    </w:r>
    <w:proofErr w:type="gramStart"/>
    <w:r>
      <w:t>2025</w:t>
    </w:r>
    <w:proofErr w:type="gramEnd"/>
    <w:r>
      <w:tab/>
    </w:r>
    <w:r>
      <w:tab/>
      <w:t>Alexis Elwood, Makaela Santoyo, Braden Bullon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0FC"/>
    <w:multiLevelType w:val="hybridMultilevel"/>
    <w:tmpl w:val="6D7E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6D08"/>
    <w:multiLevelType w:val="multilevel"/>
    <w:tmpl w:val="24C8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12846"/>
    <w:multiLevelType w:val="hybridMultilevel"/>
    <w:tmpl w:val="DD20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048278">
    <w:abstractNumId w:val="0"/>
  </w:num>
  <w:num w:numId="2" w16cid:durableId="616528463">
    <w:abstractNumId w:val="2"/>
  </w:num>
  <w:num w:numId="3" w16cid:durableId="1179537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59"/>
    <w:rsid w:val="00004220"/>
    <w:rsid w:val="00004A32"/>
    <w:rsid w:val="000155E9"/>
    <w:rsid w:val="00020BF7"/>
    <w:rsid w:val="0003745A"/>
    <w:rsid w:val="00041A5D"/>
    <w:rsid w:val="00050051"/>
    <w:rsid w:val="00052164"/>
    <w:rsid w:val="000529CB"/>
    <w:rsid w:val="00056833"/>
    <w:rsid w:val="000640A4"/>
    <w:rsid w:val="00066EA1"/>
    <w:rsid w:val="000702DC"/>
    <w:rsid w:val="0007125C"/>
    <w:rsid w:val="00073B06"/>
    <w:rsid w:val="000829C8"/>
    <w:rsid w:val="00084081"/>
    <w:rsid w:val="00086343"/>
    <w:rsid w:val="00092B2D"/>
    <w:rsid w:val="00093345"/>
    <w:rsid w:val="00093C5D"/>
    <w:rsid w:val="00094CD4"/>
    <w:rsid w:val="000A7170"/>
    <w:rsid w:val="000B27E9"/>
    <w:rsid w:val="000B39A8"/>
    <w:rsid w:val="000B4A34"/>
    <w:rsid w:val="000B4B07"/>
    <w:rsid w:val="000C1B0C"/>
    <w:rsid w:val="000C3C64"/>
    <w:rsid w:val="000C7BBB"/>
    <w:rsid w:val="000D2908"/>
    <w:rsid w:val="000D2D0E"/>
    <w:rsid w:val="000E154C"/>
    <w:rsid w:val="000E22AC"/>
    <w:rsid w:val="000F09AD"/>
    <w:rsid w:val="001011A6"/>
    <w:rsid w:val="00117B16"/>
    <w:rsid w:val="00122DB6"/>
    <w:rsid w:val="001252DB"/>
    <w:rsid w:val="00133DA5"/>
    <w:rsid w:val="001405A5"/>
    <w:rsid w:val="0014074D"/>
    <w:rsid w:val="001504F3"/>
    <w:rsid w:val="00151294"/>
    <w:rsid w:val="00151C43"/>
    <w:rsid w:val="00156E51"/>
    <w:rsid w:val="00162081"/>
    <w:rsid w:val="00164A83"/>
    <w:rsid w:val="00175866"/>
    <w:rsid w:val="00176A65"/>
    <w:rsid w:val="00192E41"/>
    <w:rsid w:val="00194456"/>
    <w:rsid w:val="00195A59"/>
    <w:rsid w:val="001960B1"/>
    <w:rsid w:val="001A1E44"/>
    <w:rsid w:val="001A375E"/>
    <w:rsid w:val="001B6CD7"/>
    <w:rsid w:val="001C5432"/>
    <w:rsid w:val="001D29BE"/>
    <w:rsid w:val="001E06FC"/>
    <w:rsid w:val="001E0885"/>
    <w:rsid w:val="001E47C5"/>
    <w:rsid w:val="001F2701"/>
    <w:rsid w:val="001F2E3A"/>
    <w:rsid w:val="001F4430"/>
    <w:rsid w:val="0020112F"/>
    <w:rsid w:val="002072B2"/>
    <w:rsid w:val="0021769A"/>
    <w:rsid w:val="002265A6"/>
    <w:rsid w:val="00227E98"/>
    <w:rsid w:val="002307EB"/>
    <w:rsid w:val="00245CED"/>
    <w:rsid w:val="002477CA"/>
    <w:rsid w:val="00247BC0"/>
    <w:rsid w:val="0025569B"/>
    <w:rsid w:val="00261947"/>
    <w:rsid w:val="002675FE"/>
    <w:rsid w:val="00270DFE"/>
    <w:rsid w:val="0027441B"/>
    <w:rsid w:val="002826CD"/>
    <w:rsid w:val="00283770"/>
    <w:rsid w:val="002877DA"/>
    <w:rsid w:val="0028799D"/>
    <w:rsid w:val="00291249"/>
    <w:rsid w:val="00293197"/>
    <w:rsid w:val="002A6B49"/>
    <w:rsid w:val="002B0556"/>
    <w:rsid w:val="002B596D"/>
    <w:rsid w:val="002B7402"/>
    <w:rsid w:val="002E0085"/>
    <w:rsid w:val="002E2A6D"/>
    <w:rsid w:val="002F6379"/>
    <w:rsid w:val="002F72AF"/>
    <w:rsid w:val="00316CB7"/>
    <w:rsid w:val="00321912"/>
    <w:rsid w:val="00324F5A"/>
    <w:rsid w:val="00332AC3"/>
    <w:rsid w:val="00334AD1"/>
    <w:rsid w:val="003406A4"/>
    <w:rsid w:val="00351F02"/>
    <w:rsid w:val="00352586"/>
    <w:rsid w:val="00353883"/>
    <w:rsid w:val="0035623C"/>
    <w:rsid w:val="00365A55"/>
    <w:rsid w:val="003805C2"/>
    <w:rsid w:val="00394154"/>
    <w:rsid w:val="00397FD8"/>
    <w:rsid w:val="003C25E9"/>
    <w:rsid w:val="003C36BF"/>
    <w:rsid w:val="003C7FD7"/>
    <w:rsid w:val="003D1200"/>
    <w:rsid w:val="003D3067"/>
    <w:rsid w:val="003E29B3"/>
    <w:rsid w:val="003E7642"/>
    <w:rsid w:val="003F032C"/>
    <w:rsid w:val="003F0C6A"/>
    <w:rsid w:val="00451C62"/>
    <w:rsid w:val="004636D8"/>
    <w:rsid w:val="00465204"/>
    <w:rsid w:val="00465939"/>
    <w:rsid w:val="00466403"/>
    <w:rsid w:val="00467C29"/>
    <w:rsid w:val="00472446"/>
    <w:rsid w:val="004735C6"/>
    <w:rsid w:val="004772A8"/>
    <w:rsid w:val="004815F3"/>
    <w:rsid w:val="00481826"/>
    <w:rsid w:val="00481C0A"/>
    <w:rsid w:val="00491E7C"/>
    <w:rsid w:val="00492F28"/>
    <w:rsid w:val="0049761F"/>
    <w:rsid w:val="004A00B8"/>
    <w:rsid w:val="004A2CA3"/>
    <w:rsid w:val="004A3040"/>
    <w:rsid w:val="004B0626"/>
    <w:rsid w:val="004C1CA6"/>
    <w:rsid w:val="004C4466"/>
    <w:rsid w:val="004C61E7"/>
    <w:rsid w:val="004C6228"/>
    <w:rsid w:val="004D03F9"/>
    <w:rsid w:val="004E1F1C"/>
    <w:rsid w:val="004F0AAB"/>
    <w:rsid w:val="004F118D"/>
    <w:rsid w:val="00503FEB"/>
    <w:rsid w:val="005055D5"/>
    <w:rsid w:val="00512CA8"/>
    <w:rsid w:val="00515DFF"/>
    <w:rsid w:val="005236E0"/>
    <w:rsid w:val="00523BD3"/>
    <w:rsid w:val="0053055E"/>
    <w:rsid w:val="0053293A"/>
    <w:rsid w:val="00541BDB"/>
    <w:rsid w:val="00543898"/>
    <w:rsid w:val="00546331"/>
    <w:rsid w:val="00547C4A"/>
    <w:rsid w:val="00550940"/>
    <w:rsid w:val="00565A86"/>
    <w:rsid w:val="00572448"/>
    <w:rsid w:val="00576302"/>
    <w:rsid w:val="00586D71"/>
    <w:rsid w:val="0059290B"/>
    <w:rsid w:val="0059648F"/>
    <w:rsid w:val="005B2846"/>
    <w:rsid w:val="005C3032"/>
    <w:rsid w:val="005C5412"/>
    <w:rsid w:val="005D3D49"/>
    <w:rsid w:val="005E50B2"/>
    <w:rsid w:val="005F0D0B"/>
    <w:rsid w:val="005F5023"/>
    <w:rsid w:val="006003F7"/>
    <w:rsid w:val="00605102"/>
    <w:rsid w:val="006059CD"/>
    <w:rsid w:val="00605CAA"/>
    <w:rsid w:val="006226CE"/>
    <w:rsid w:val="00624929"/>
    <w:rsid w:val="00630C95"/>
    <w:rsid w:val="00633FF3"/>
    <w:rsid w:val="0063593A"/>
    <w:rsid w:val="00635CD4"/>
    <w:rsid w:val="00637DB8"/>
    <w:rsid w:val="00640FD5"/>
    <w:rsid w:val="00643F0C"/>
    <w:rsid w:val="00653FA8"/>
    <w:rsid w:val="00663A99"/>
    <w:rsid w:val="00677550"/>
    <w:rsid w:val="00682B59"/>
    <w:rsid w:val="0068310C"/>
    <w:rsid w:val="00683E60"/>
    <w:rsid w:val="00685A6F"/>
    <w:rsid w:val="006B280E"/>
    <w:rsid w:val="006B6AD5"/>
    <w:rsid w:val="006C092B"/>
    <w:rsid w:val="006C7FBB"/>
    <w:rsid w:val="006E632D"/>
    <w:rsid w:val="006F31AD"/>
    <w:rsid w:val="006F5A73"/>
    <w:rsid w:val="006F7FCB"/>
    <w:rsid w:val="00702022"/>
    <w:rsid w:val="0071164E"/>
    <w:rsid w:val="0071248B"/>
    <w:rsid w:val="00725707"/>
    <w:rsid w:val="007307A1"/>
    <w:rsid w:val="0073182F"/>
    <w:rsid w:val="007330E3"/>
    <w:rsid w:val="00744D5A"/>
    <w:rsid w:val="0074530F"/>
    <w:rsid w:val="007462D8"/>
    <w:rsid w:val="007541B7"/>
    <w:rsid w:val="0076285A"/>
    <w:rsid w:val="007634E5"/>
    <w:rsid w:val="00764660"/>
    <w:rsid w:val="007711C3"/>
    <w:rsid w:val="00787608"/>
    <w:rsid w:val="007B17C1"/>
    <w:rsid w:val="007C10F3"/>
    <w:rsid w:val="007C3593"/>
    <w:rsid w:val="007C6374"/>
    <w:rsid w:val="007E7800"/>
    <w:rsid w:val="007F2DA2"/>
    <w:rsid w:val="007F3585"/>
    <w:rsid w:val="007F623B"/>
    <w:rsid w:val="008006BE"/>
    <w:rsid w:val="00800910"/>
    <w:rsid w:val="0080283B"/>
    <w:rsid w:val="00805846"/>
    <w:rsid w:val="00807F0D"/>
    <w:rsid w:val="0081455A"/>
    <w:rsid w:val="00817E78"/>
    <w:rsid w:val="00820D31"/>
    <w:rsid w:val="00824476"/>
    <w:rsid w:val="00827E0F"/>
    <w:rsid w:val="00833D80"/>
    <w:rsid w:val="00836E92"/>
    <w:rsid w:val="008372D6"/>
    <w:rsid w:val="00840CEB"/>
    <w:rsid w:val="008414E6"/>
    <w:rsid w:val="00842093"/>
    <w:rsid w:val="008527C8"/>
    <w:rsid w:val="008557DB"/>
    <w:rsid w:val="00855D08"/>
    <w:rsid w:val="008560A9"/>
    <w:rsid w:val="008607BE"/>
    <w:rsid w:val="00861F41"/>
    <w:rsid w:val="00866544"/>
    <w:rsid w:val="00890176"/>
    <w:rsid w:val="008B5386"/>
    <w:rsid w:val="008C5AC1"/>
    <w:rsid w:val="008C63A7"/>
    <w:rsid w:val="008D502B"/>
    <w:rsid w:val="008D5782"/>
    <w:rsid w:val="008E3EC7"/>
    <w:rsid w:val="008F0098"/>
    <w:rsid w:val="008F34E1"/>
    <w:rsid w:val="0091607E"/>
    <w:rsid w:val="00917116"/>
    <w:rsid w:val="0091712C"/>
    <w:rsid w:val="00924A46"/>
    <w:rsid w:val="00931D79"/>
    <w:rsid w:val="00935F43"/>
    <w:rsid w:val="009418BE"/>
    <w:rsid w:val="00965261"/>
    <w:rsid w:val="00966F02"/>
    <w:rsid w:val="00970302"/>
    <w:rsid w:val="00976F27"/>
    <w:rsid w:val="00992816"/>
    <w:rsid w:val="00993865"/>
    <w:rsid w:val="009A0D20"/>
    <w:rsid w:val="009C13EF"/>
    <w:rsid w:val="009C1B41"/>
    <w:rsid w:val="009C1C6D"/>
    <w:rsid w:val="009C751C"/>
    <w:rsid w:val="009D1E8F"/>
    <w:rsid w:val="009D2632"/>
    <w:rsid w:val="009D2647"/>
    <w:rsid w:val="009D4100"/>
    <w:rsid w:val="009D7FDF"/>
    <w:rsid w:val="009E546E"/>
    <w:rsid w:val="009E71BB"/>
    <w:rsid w:val="009F1F31"/>
    <w:rsid w:val="009F4EF0"/>
    <w:rsid w:val="00A00927"/>
    <w:rsid w:val="00A07ED7"/>
    <w:rsid w:val="00A10860"/>
    <w:rsid w:val="00A20A6B"/>
    <w:rsid w:val="00A21F0C"/>
    <w:rsid w:val="00A30516"/>
    <w:rsid w:val="00A4439E"/>
    <w:rsid w:val="00A52C5D"/>
    <w:rsid w:val="00A633B9"/>
    <w:rsid w:val="00A74506"/>
    <w:rsid w:val="00A75928"/>
    <w:rsid w:val="00A854B6"/>
    <w:rsid w:val="00A91030"/>
    <w:rsid w:val="00A920DF"/>
    <w:rsid w:val="00A92ED0"/>
    <w:rsid w:val="00A93395"/>
    <w:rsid w:val="00A96444"/>
    <w:rsid w:val="00AA00D5"/>
    <w:rsid w:val="00AA1F94"/>
    <w:rsid w:val="00AA7A4F"/>
    <w:rsid w:val="00AC4AF9"/>
    <w:rsid w:val="00AC5E75"/>
    <w:rsid w:val="00AC5F46"/>
    <w:rsid w:val="00AE0681"/>
    <w:rsid w:val="00AE3494"/>
    <w:rsid w:val="00AF3BD2"/>
    <w:rsid w:val="00B2682E"/>
    <w:rsid w:val="00B50FD2"/>
    <w:rsid w:val="00B52C35"/>
    <w:rsid w:val="00B52CB9"/>
    <w:rsid w:val="00B56132"/>
    <w:rsid w:val="00B8008B"/>
    <w:rsid w:val="00B804EF"/>
    <w:rsid w:val="00B84E57"/>
    <w:rsid w:val="00B90214"/>
    <w:rsid w:val="00B94FFE"/>
    <w:rsid w:val="00B95046"/>
    <w:rsid w:val="00BA1B58"/>
    <w:rsid w:val="00BA7EDE"/>
    <w:rsid w:val="00BB5BF2"/>
    <w:rsid w:val="00BC04A2"/>
    <w:rsid w:val="00BE00F9"/>
    <w:rsid w:val="00BE266A"/>
    <w:rsid w:val="00BF3575"/>
    <w:rsid w:val="00C00979"/>
    <w:rsid w:val="00C023C1"/>
    <w:rsid w:val="00C1052B"/>
    <w:rsid w:val="00C115C8"/>
    <w:rsid w:val="00C158D5"/>
    <w:rsid w:val="00C304F2"/>
    <w:rsid w:val="00C33727"/>
    <w:rsid w:val="00C3479C"/>
    <w:rsid w:val="00C36392"/>
    <w:rsid w:val="00C3651A"/>
    <w:rsid w:val="00C40C3B"/>
    <w:rsid w:val="00C43F6B"/>
    <w:rsid w:val="00C712D1"/>
    <w:rsid w:val="00C73E51"/>
    <w:rsid w:val="00C86047"/>
    <w:rsid w:val="00C87DDD"/>
    <w:rsid w:val="00C91439"/>
    <w:rsid w:val="00C9468B"/>
    <w:rsid w:val="00CB0E79"/>
    <w:rsid w:val="00CB1E37"/>
    <w:rsid w:val="00CB2421"/>
    <w:rsid w:val="00CB3F78"/>
    <w:rsid w:val="00CB7581"/>
    <w:rsid w:val="00CC5F7F"/>
    <w:rsid w:val="00CC634A"/>
    <w:rsid w:val="00CD03C1"/>
    <w:rsid w:val="00CD0989"/>
    <w:rsid w:val="00CD6E78"/>
    <w:rsid w:val="00CE21D5"/>
    <w:rsid w:val="00CF49F7"/>
    <w:rsid w:val="00CF6ABA"/>
    <w:rsid w:val="00D03534"/>
    <w:rsid w:val="00D03859"/>
    <w:rsid w:val="00D209DD"/>
    <w:rsid w:val="00D22627"/>
    <w:rsid w:val="00D231F8"/>
    <w:rsid w:val="00D23896"/>
    <w:rsid w:val="00D2506B"/>
    <w:rsid w:val="00D303C1"/>
    <w:rsid w:val="00D35D79"/>
    <w:rsid w:val="00D46045"/>
    <w:rsid w:val="00D4713E"/>
    <w:rsid w:val="00D47EE2"/>
    <w:rsid w:val="00D52154"/>
    <w:rsid w:val="00D53879"/>
    <w:rsid w:val="00D56B67"/>
    <w:rsid w:val="00D7305E"/>
    <w:rsid w:val="00D74A8B"/>
    <w:rsid w:val="00D75C1F"/>
    <w:rsid w:val="00D87084"/>
    <w:rsid w:val="00D964FD"/>
    <w:rsid w:val="00DA3C55"/>
    <w:rsid w:val="00DB0211"/>
    <w:rsid w:val="00DB5BE3"/>
    <w:rsid w:val="00DB5F99"/>
    <w:rsid w:val="00DB659B"/>
    <w:rsid w:val="00DC3085"/>
    <w:rsid w:val="00DC6D59"/>
    <w:rsid w:val="00DD1F1F"/>
    <w:rsid w:val="00DD72D8"/>
    <w:rsid w:val="00DE12C1"/>
    <w:rsid w:val="00DE1FB1"/>
    <w:rsid w:val="00DE6458"/>
    <w:rsid w:val="00DF2B6E"/>
    <w:rsid w:val="00E00F48"/>
    <w:rsid w:val="00E02D82"/>
    <w:rsid w:val="00E06F43"/>
    <w:rsid w:val="00E12552"/>
    <w:rsid w:val="00E214A1"/>
    <w:rsid w:val="00E2480F"/>
    <w:rsid w:val="00E25896"/>
    <w:rsid w:val="00E32F66"/>
    <w:rsid w:val="00E379A9"/>
    <w:rsid w:val="00E43712"/>
    <w:rsid w:val="00E465E7"/>
    <w:rsid w:val="00E50182"/>
    <w:rsid w:val="00E5579F"/>
    <w:rsid w:val="00E562E7"/>
    <w:rsid w:val="00E6128D"/>
    <w:rsid w:val="00E626C0"/>
    <w:rsid w:val="00E6572C"/>
    <w:rsid w:val="00E667E9"/>
    <w:rsid w:val="00E668AF"/>
    <w:rsid w:val="00E72C3F"/>
    <w:rsid w:val="00E77B98"/>
    <w:rsid w:val="00E92378"/>
    <w:rsid w:val="00E9381D"/>
    <w:rsid w:val="00E96972"/>
    <w:rsid w:val="00E97745"/>
    <w:rsid w:val="00E97801"/>
    <w:rsid w:val="00E97DF3"/>
    <w:rsid w:val="00EA0E6F"/>
    <w:rsid w:val="00EA3790"/>
    <w:rsid w:val="00EB1884"/>
    <w:rsid w:val="00EB3D30"/>
    <w:rsid w:val="00EB4F34"/>
    <w:rsid w:val="00EB78FB"/>
    <w:rsid w:val="00EC4F97"/>
    <w:rsid w:val="00ED1B9D"/>
    <w:rsid w:val="00ED357A"/>
    <w:rsid w:val="00EE0204"/>
    <w:rsid w:val="00EE12FD"/>
    <w:rsid w:val="00EE1F64"/>
    <w:rsid w:val="00EF132D"/>
    <w:rsid w:val="00EF41D7"/>
    <w:rsid w:val="00EF57A1"/>
    <w:rsid w:val="00EF759C"/>
    <w:rsid w:val="00F024C9"/>
    <w:rsid w:val="00F141B2"/>
    <w:rsid w:val="00F24BC9"/>
    <w:rsid w:val="00F26AC6"/>
    <w:rsid w:val="00F27C2B"/>
    <w:rsid w:val="00F36142"/>
    <w:rsid w:val="00F50B24"/>
    <w:rsid w:val="00F547E4"/>
    <w:rsid w:val="00F57845"/>
    <w:rsid w:val="00F61197"/>
    <w:rsid w:val="00F74411"/>
    <w:rsid w:val="00F820E0"/>
    <w:rsid w:val="00F84CEA"/>
    <w:rsid w:val="00F864E5"/>
    <w:rsid w:val="00F95424"/>
    <w:rsid w:val="00F9645B"/>
    <w:rsid w:val="00FA532F"/>
    <w:rsid w:val="00FB3E0E"/>
    <w:rsid w:val="00FB7F6A"/>
    <w:rsid w:val="00FC1CDC"/>
    <w:rsid w:val="00FC52E8"/>
    <w:rsid w:val="00FD11CA"/>
    <w:rsid w:val="00FE385B"/>
    <w:rsid w:val="00FF327A"/>
    <w:rsid w:val="3832A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C07DA3"/>
  <w15:chartTrackingRefBased/>
  <w15:docId w15:val="{F6E0E5D2-5A76-114C-B5FE-A58B41DA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197"/>
    <w:pPr>
      <w:tabs>
        <w:tab w:val="center" w:pos="4680"/>
        <w:tab w:val="right" w:pos="9360"/>
      </w:tabs>
    </w:pPr>
  </w:style>
  <w:style w:type="character" w:customStyle="1" w:styleId="HeaderChar">
    <w:name w:val="Header Char"/>
    <w:basedOn w:val="DefaultParagraphFont"/>
    <w:link w:val="Header"/>
    <w:uiPriority w:val="99"/>
    <w:rsid w:val="00F61197"/>
  </w:style>
  <w:style w:type="paragraph" w:styleId="Footer">
    <w:name w:val="footer"/>
    <w:basedOn w:val="Normal"/>
    <w:link w:val="FooterChar"/>
    <w:uiPriority w:val="99"/>
    <w:unhideWhenUsed/>
    <w:rsid w:val="00F61197"/>
    <w:pPr>
      <w:tabs>
        <w:tab w:val="center" w:pos="4680"/>
        <w:tab w:val="right" w:pos="9360"/>
      </w:tabs>
    </w:pPr>
  </w:style>
  <w:style w:type="character" w:customStyle="1" w:styleId="FooterChar">
    <w:name w:val="Footer Char"/>
    <w:basedOn w:val="DefaultParagraphFont"/>
    <w:link w:val="Footer"/>
    <w:uiPriority w:val="99"/>
    <w:rsid w:val="00F61197"/>
  </w:style>
  <w:style w:type="character" w:styleId="Hyperlink">
    <w:name w:val="Hyperlink"/>
    <w:basedOn w:val="DefaultParagraphFont"/>
    <w:uiPriority w:val="99"/>
    <w:unhideWhenUsed/>
    <w:rsid w:val="002826CD"/>
    <w:rPr>
      <w:color w:val="0563C1" w:themeColor="hyperlink"/>
      <w:u w:val="single"/>
    </w:rPr>
  </w:style>
  <w:style w:type="character" w:styleId="UnresolvedMention">
    <w:name w:val="Unresolved Mention"/>
    <w:basedOn w:val="DefaultParagraphFont"/>
    <w:uiPriority w:val="99"/>
    <w:semiHidden/>
    <w:unhideWhenUsed/>
    <w:rsid w:val="002826CD"/>
    <w:rPr>
      <w:color w:val="605E5C"/>
      <w:shd w:val="clear" w:color="auto" w:fill="E1DFDD"/>
    </w:rPr>
  </w:style>
  <w:style w:type="paragraph" w:styleId="ListParagraph">
    <w:name w:val="List Paragraph"/>
    <w:basedOn w:val="Normal"/>
    <w:uiPriority w:val="34"/>
    <w:qFormat/>
    <w:rsid w:val="00E12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2096">
      <w:bodyDiv w:val="1"/>
      <w:marLeft w:val="0"/>
      <w:marRight w:val="0"/>
      <w:marTop w:val="0"/>
      <w:marBottom w:val="0"/>
      <w:divBdr>
        <w:top w:val="none" w:sz="0" w:space="0" w:color="auto"/>
        <w:left w:val="none" w:sz="0" w:space="0" w:color="auto"/>
        <w:bottom w:val="none" w:sz="0" w:space="0" w:color="auto"/>
        <w:right w:val="none" w:sz="0" w:space="0" w:color="auto"/>
      </w:divBdr>
    </w:div>
    <w:div w:id="290326484">
      <w:bodyDiv w:val="1"/>
      <w:marLeft w:val="0"/>
      <w:marRight w:val="0"/>
      <w:marTop w:val="0"/>
      <w:marBottom w:val="0"/>
      <w:divBdr>
        <w:top w:val="none" w:sz="0" w:space="0" w:color="auto"/>
        <w:left w:val="none" w:sz="0" w:space="0" w:color="auto"/>
        <w:bottom w:val="none" w:sz="0" w:space="0" w:color="auto"/>
        <w:right w:val="none" w:sz="0" w:space="0" w:color="auto"/>
      </w:divBdr>
    </w:div>
    <w:div w:id="718478862">
      <w:bodyDiv w:val="1"/>
      <w:marLeft w:val="0"/>
      <w:marRight w:val="0"/>
      <w:marTop w:val="0"/>
      <w:marBottom w:val="0"/>
      <w:divBdr>
        <w:top w:val="none" w:sz="0" w:space="0" w:color="auto"/>
        <w:left w:val="none" w:sz="0" w:space="0" w:color="auto"/>
        <w:bottom w:val="none" w:sz="0" w:space="0" w:color="auto"/>
        <w:right w:val="none" w:sz="0" w:space="0" w:color="auto"/>
      </w:divBdr>
    </w:div>
    <w:div w:id="895051566">
      <w:bodyDiv w:val="1"/>
      <w:marLeft w:val="0"/>
      <w:marRight w:val="0"/>
      <w:marTop w:val="0"/>
      <w:marBottom w:val="0"/>
      <w:divBdr>
        <w:top w:val="none" w:sz="0" w:space="0" w:color="auto"/>
        <w:left w:val="none" w:sz="0" w:space="0" w:color="auto"/>
        <w:bottom w:val="none" w:sz="0" w:space="0" w:color="auto"/>
        <w:right w:val="none" w:sz="0" w:space="0" w:color="auto"/>
      </w:divBdr>
    </w:div>
    <w:div w:id="980579803">
      <w:bodyDiv w:val="1"/>
      <w:marLeft w:val="0"/>
      <w:marRight w:val="0"/>
      <w:marTop w:val="0"/>
      <w:marBottom w:val="0"/>
      <w:divBdr>
        <w:top w:val="none" w:sz="0" w:space="0" w:color="auto"/>
        <w:left w:val="none" w:sz="0" w:space="0" w:color="auto"/>
        <w:bottom w:val="none" w:sz="0" w:space="0" w:color="auto"/>
        <w:right w:val="none" w:sz="0" w:space="0" w:color="auto"/>
      </w:divBdr>
    </w:div>
    <w:div w:id="1043483489">
      <w:bodyDiv w:val="1"/>
      <w:marLeft w:val="0"/>
      <w:marRight w:val="0"/>
      <w:marTop w:val="0"/>
      <w:marBottom w:val="0"/>
      <w:divBdr>
        <w:top w:val="none" w:sz="0" w:space="0" w:color="auto"/>
        <w:left w:val="none" w:sz="0" w:space="0" w:color="auto"/>
        <w:bottom w:val="none" w:sz="0" w:space="0" w:color="auto"/>
        <w:right w:val="none" w:sz="0" w:space="0" w:color="auto"/>
      </w:divBdr>
    </w:div>
    <w:div w:id="1790004677">
      <w:bodyDiv w:val="1"/>
      <w:marLeft w:val="0"/>
      <w:marRight w:val="0"/>
      <w:marTop w:val="0"/>
      <w:marBottom w:val="0"/>
      <w:divBdr>
        <w:top w:val="none" w:sz="0" w:space="0" w:color="auto"/>
        <w:left w:val="none" w:sz="0" w:space="0" w:color="auto"/>
        <w:bottom w:val="none" w:sz="0" w:space="0" w:color="auto"/>
        <w:right w:val="none" w:sz="0" w:space="0" w:color="auto"/>
      </w:divBdr>
    </w:div>
    <w:div w:id="18146406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kaggle.com/datasets/gkitchen/s-and-p-500-spy"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bls.gov/charts/employment-situation/civilian-unemployment-rate.htm"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2717</Words>
  <Characters>15488</Characters>
  <Application>Microsoft Office Word</Application>
  <DocSecurity>0</DocSecurity>
  <Lines>129</Lines>
  <Paragraphs>36</Paragraphs>
  <ScaleCrop>false</ScaleCrop>
  <Company/>
  <LinksUpToDate>false</LinksUpToDate>
  <CharactersWithSpaces>18169</CharactersWithSpaces>
  <SharedDoc>false</SharedDoc>
  <HLinks>
    <vt:vector size="12" baseType="variant">
      <vt:variant>
        <vt:i4>852049</vt:i4>
      </vt:variant>
      <vt:variant>
        <vt:i4>3</vt:i4>
      </vt:variant>
      <vt:variant>
        <vt:i4>0</vt:i4>
      </vt:variant>
      <vt:variant>
        <vt:i4>5</vt:i4>
      </vt:variant>
      <vt:variant>
        <vt:lpwstr>https://www.kaggle.com/datasets/gkitchen/s-and-p-500-spy</vt:lpwstr>
      </vt:variant>
      <vt:variant>
        <vt:lpwstr/>
      </vt:variant>
      <vt:variant>
        <vt:i4>7864447</vt:i4>
      </vt:variant>
      <vt:variant>
        <vt:i4>0</vt:i4>
      </vt:variant>
      <vt:variant>
        <vt:i4>0</vt:i4>
      </vt:variant>
      <vt:variant>
        <vt:i4>5</vt:i4>
      </vt:variant>
      <vt:variant>
        <vt:lpwstr>https://www.bls.gov/charts/employment-situation/civilian-unemployment-rate.htm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 U.s. Unemployment Rates and S&amp;P 500 Trends</dc:title>
  <dc:subject/>
  <dc:creator>Elwood, Alexis A</dc:creator>
  <cp:keywords/>
  <dc:description/>
  <cp:lastModifiedBy>Elwood, Alexis A</cp:lastModifiedBy>
  <cp:revision>110</cp:revision>
  <dcterms:created xsi:type="dcterms:W3CDTF">2025-05-09T05:11:00Z</dcterms:created>
  <dcterms:modified xsi:type="dcterms:W3CDTF">2025-05-10T01:29:00Z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b1a45b0c-b056-4e3c-9893-f1dded32b48d</vt:lpwstr>
  </property>
</Properties>
</file>