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Training Algorithm</w:t>
      </w:r>
    </w:p>
    <w:p>
      <w:pPr>
        <w:spacing w:after="60"/>
        <w:jc w:val="center"/>
      </w:pPr>
      <w:r>
        <w:rPr>
          <w:i/>
          <w:iCs/>
          <w:sz w:val="24"/>
          <w:szCs w:val="24"/>
        </w:rPr>
        <w:t xml:space="preserve">Detection and Attribution of AI-Generated and Human Written Phishing Emails from Legitimate Emails</w:t>
      </w:r>
    </w:p>
    <w:p>
      <w:pPr>
        <w:spacing w:after="60"/>
        <w:jc w:val="center"/>
      </w:pPr>
      <w:r>
        <w:rPr>
          <w:sz w:val="22"/>
          <w:szCs w:val="22"/>
        </w:rPr>
        <w:t xml:space="preserve">Mannan Bhardwaj – 25BYB0013   ·   Bhoumik Singh Rajput – 25BYB0120</w:t>
      </w:r>
    </w:p>
    <w:p>
      <w:pPr>
        <w:spacing w:after="360"/>
        <w:jc w:val="center"/>
      </w:pPr>
      <w:r>
        <w:rPr>
          <w:sz w:val="22"/>
          <w:szCs w:val="22"/>
        </w:rPr>
        <w:t xml:space="preserve">School of Computer Science Engineering and Information Systems</w:t>
      </w:r>
    </w:p>
    <w:p>
      <w:pPr>
        <w:pStyle w:val="Heading1"/>
        <w:spacing w:after="140" w:before="280"/>
      </w:pPr>
      <w:r>
        <w:t xml:space="preserve">Two sub-models, each handling one feature type</w:t>
      </w:r>
    </w:p>
    <w:p>
      <w:pPr>
        <w:pStyle w:val="Heading2"/>
        <w:spacing w:after="100" w:before="220"/>
      </w:pPr>
      <w:r>
        <w:t xml:space="preserve">Model 1 — Rank-Binned Naive Bayes (14 continuous features)</w:t>
      </w:r>
    </w:p>
    <w:p>
      <w:pPr>
        <w:spacing w:after="160"/>
      </w:pPr>
      <w:r>
        <w:t xml:space="preserve">“Training” here means: for each surviving continuous feature (one that passed the Kruskal-Wallis gate), compute bin edges from the training data. Binning is quantile-based — bins are defined by the feature’s rank within the training distribution, not its raw magnitude — which avoids any normality assumption, consistent with why Kruskal-Wallis is used instead of ANOVA in the first place. Then count how many training emails of each class fall into each bin:</w:t>
      </w:r>
    </w:p>
    <w:p>
      <w:pPr>
        <w:spacing w:after="160" w:before="120"/>
        <w:jc w:val="center"/>
      </w:pPr>
      <w:r>
        <w:rPr>
          <w:rFonts w:ascii="Cambria Math" w:cs="Cambria Math" w:eastAsia="Cambria Math" w:hAnsi="Cambria Math"/>
          <w:i/>
          <w:iCs/>
        </w:rPr>
        <w:t xml:space="preserve">P(xᵢ ∈ Bin_b | C_k) = (N_{b,k} + α) / (N_k + α·B)</w:t>
      </w:r>
    </w:p>
    <w:p>
      <w:pPr>
        <w:spacing w:after="160"/>
      </w:pPr>
      <w:r>
        <w:t xml:space="preserve">with Laplace smoothing α = 1, so no bin/class combination ever reaches exactly zero probability — which would otherwise let one missing combination veto an entire classification outright. The bin edges and these frequency tables are computed once and locked; that is the entire “training” step for this sub-model. There is no iteration.</w:t>
      </w:r>
    </w:p>
    <w:p>
      <w:pPr>
        <w:pStyle w:val="Heading2"/>
        <w:spacing w:after="100" w:before="220"/>
      </w:pPr>
      <w:r>
        <w:t xml:space="preserve">Model 2 — Categorical Naive Bayes (6 flag features)</w:t>
      </w:r>
    </w:p>
    <w:p>
      <w:pPr>
        <w:spacing w:after="160"/>
      </w:pPr>
      <w:r>
        <w:t xml:space="preserve">Same idea, simpler — a smoothed frequency count per category value per class:</w:t>
      </w:r>
    </w:p>
    <w:p>
      <w:pPr>
        <w:spacing w:after="160" w:before="120"/>
        <w:jc w:val="center"/>
      </w:pPr>
      <w:r>
        <w:rPr>
          <w:rFonts w:ascii="Cambria Math" w:cs="Cambria Math" w:eastAsia="Cambria Math" w:hAnsi="Cambria Math"/>
          <w:i/>
          <w:iCs/>
        </w:rPr>
        <w:t xml:space="preserve">P(xᵢ = v | C_k) = (Count(xᵢ = v in C_k) + α) / (Total in C_k + α·K)</w:t>
      </w:r>
    </w:p>
    <w:p>
      <w:pPr>
        <w:spacing w:after="160"/>
      </w:pPr>
      <w:r>
        <w:t xml:space="preserve">An unseen category at inference time (a value never observed during training) falls back to this same smoothed baseline rather than a zero probability. Most of these features are binary flags, so this case should be rare in practice.</w:t>
      </w:r>
    </w:p>
    <w:p>
      <w:pPr>
        <w:spacing w:after="160"/>
      </w:pPr>
      <w:r>
        <w:t xml:space="preserve">Each sub-model independently combines its own features’ conditional probabilities with the class prior — the standard Naive Bayes product rule, assuming conditional independence within that feature group — to produce its own three-class posterior vector.</w:t>
      </w:r>
    </w:p>
    <w:p>
      <w:pPr>
        <w:pStyle w:val="Heading1"/>
        <w:spacing w:after="140" w:before="280"/>
      </w:pPr>
      <w:r>
        <w:t xml:space="preserve">Meta-Naive Bayes — combining the two sub-models</w:t>
      </w:r>
    </w:p>
    <w:p>
      <w:pPr>
        <w:spacing w:after="160"/>
      </w:pPr>
      <w:r>
        <w:t xml:space="preserve">Rather than concatenating all 20 features into one flat Naive Bayes model, the two sub-models’ output posteriors (P₁ from Model 1, P₂ from Model 2) become the inputs to a second Bayes combination:</w:t>
      </w:r>
    </w:p>
    <w:p>
      <w:pPr>
        <w:spacing w:after="160" w:before="120"/>
        <w:jc w:val="center"/>
      </w:pPr>
      <w:r>
        <w:rPr>
          <w:rFonts w:ascii="Cambria Math" w:cs="Cambria Math" w:eastAsia="Cambria Math" w:hAnsi="Cambria Math"/>
          <w:i/>
          <w:iCs/>
        </w:rPr>
        <w:t xml:space="preserve">P(C_k | P₁, P₂) = [P(C_k)·Πₘ P(Pₘ | C_k)] / Σⱼ [P(Cⱼ)·Πₘ P(Pₘ | Cⱼ)]      for m = 1, 2</w:t>
      </w:r>
    </w:p>
    <w:p>
      <w:pPr>
        <w:spacing w:after="160"/>
      </w:pPr>
      <w:r>
        <w:t xml:space="preserve">This is a stacking-style late fusion: it lets the continuous-feature model and the categorical-feature model each specialize, rather than forcing a single Naive Bayes model to assume all 20 features are independent of one another.</w:t>
      </w:r>
    </w:p>
    <w:p>
      <w:pPr>
        <w:pStyle w:val="Heading1"/>
        <w:spacing w:after="140" w:before="280"/>
      </w:pPr>
      <w:r>
        <w:t xml:space="preserve">The decision itself — two sequential steps, not one three-way softmax</w:t>
      </w:r>
    </w:p>
    <w:p>
      <w:pPr>
        <w:pStyle w:val="ListParagraph"/>
        <w:numPr>
          <w:ilvl w:val="0"/>
          <w:numId w:val="2"/>
        </w:numPr>
        <w:spacing w:after="80"/>
      </w:pPr>
      <w:r>
        <w:rPr>
          <w:b/>
          <w:bCs/>
        </w:rPr>
        <w:t xml:space="preserve">Phishing vs. Legitimate: </w:t>
      </w:r>
      <w:r>
        <w:t xml:space="preserve">P(Phishing) = P(C_Human-Phishing) + P(C_AI-Phishing). Below 0.50 → Legitimate; a tie at exactly 0.50 breaks to Phishing, as a fail-safe — better a false alarm than a miss.</w:t>
      </w:r>
    </w:p>
    <w:p>
      <w:pPr>
        <w:pStyle w:val="ListParagraph"/>
        <w:numPr>
          <w:ilvl w:val="0"/>
          <w:numId w:val="2"/>
        </w:numPr>
        <w:spacing w:after="80"/>
      </w:pPr>
      <w:r>
        <w:rPr>
          <w:b/>
          <w:bCs/>
        </w:rPr>
        <w:t xml:space="preserve">Attribution (only runs if flagged Phishing): </w:t>
      </w:r>
      <w:r>
        <w:t xml:space="preserve">P(AI | Phishing) = P(C_AI-Phishing) / [P(C_AI-Phishing) + P(C_Human-Phishing)]. ≥ 0.50 → AI-Generated; a tie at exactly 0.50 also breaks to AI-Generated, as the more conservative label for a security system.</w:t>
      </w:r>
    </w:p>
    <w:p>
      <w:pPr>
        <w:pStyle w:val="Heading1"/>
        <w:spacing w:after="140" w:before="280"/>
      </w:pPr>
      <w:r>
        <w:t xml:space="preserve">What makes this “training” different from typical ML training</w:t>
      </w:r>
    </w:p>
    <w:p>
      <w:pPr>
        <w:spacing w:after="160"/>
      </w:pPr>
      <w:r>
        <w:t xml:space="preserve">There is no gradient descent, no loss function being minimized, and no epochs. “Training” is entirely closed-form parameter estimation — computing bin edges, counting frequencies, computing priors — done once. That is the whole point of the architecture: deterministic, fully auditable (every decision traces back to an exact probability computed from an exact count), and sub-10ms per-email inference.</w:t>
      </w:r>
    </w:p>
    <w:p>
      <w:pPr>
        <w:pStyle w:val="Heading1"/>
        <w:spacing w:after="140" w:before="280"/>
      </w:pPr>
      <w:r>
        <w:t xml:space="preserve">Open gap</w:t>
      </w:r>
    </w:p>
    <w:p>
      <w:pPr>
        <w:spacing w:after="160"/>
      </w:pPr>
      <w:r>
        <w:rPr>
          <w:b/>
          <w:bCs/>
        </w:rPr>
        <w:t xml:space="preserve">One gap worth flagging honestly: </w:t>
      </w:r>
      <w:r>
        <w:t xml:space="preserve">the proposal specifies how binning works (quantile edges plus Laplace smoothing) but not the number of bins — that is an implementation choice not yet pinned down. Common choices would be 5 or 10 roughly-equal-frequency bins; too few loses signal, too many starves some bins of training examples given there are only about 1,497 emails per class. This should be decided before the actual training code is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2026-10-06T20:34:38.600Z</dcterms:created>
  <dcterms:modified xsi:type="dcterms:W3CDTF">2026-10-06T20:34:38.600Z</dcterms:modified>
</cp:coreProperties>
</file>

<file path=docProps/custom.xml><?xml version="1.0" encoding="utf-8"?>
<Properties xmlns="http://schemas.openxmlformats.org/officeDocument/2006/custom-properties" xmlns:vt="http://schemas.openxmlformats.org/officeDocument/2006/docPropsVTypes"/>
</file>