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lang w:eastAsia="ja-JP"/>
        </w:rPr>
      </w:pPr>
      <w:r>
        <w:rPr>
          <w:lang w:eastAsia="ja-JP"/>
        </w:rPr>
        <w:t>Melvin Lamont Evans</w:t>
      </w:r>
    </w:p>
    <w:p>
      <w:pPr>
        <w:pStyle w:val="Normal"/>
        <w:jc w:val="both"/>
        <w:rPr>
          <w:lang w:eastAsia="ja-JP"/>
        </w:rPr>
      </w:pPr>
      <w:r>
        <w:rPr>
          <w:lang w:eastAsia="ja-JP"/>
        </w:rPr>
        <w:t xml:space="preserve">14603 Gilmore street </w:t>
      </w:r>
    </w:p>
    <w:p>
      <w:pPr>
        <w:pStyle w:val="Normal"/>
        <w:jc w:val="both"/>
        <w:rPr>
          <w:lang w:eastAsia="ja-JP"/>
        </w:rPr>
      </w:pPr>
      <w:r>
        <w:rPr>
          <w:lang w:eastAsia="ja-JP"/>
        </w:rPr>
        <w:t>ph:(833)728-9278</w:t>
      </w:r>
    </w:p>
    <w:p>
      <w:pPr>
        <w:pStyle w:val="Normal"/>
        <w:jc w:val="both"/>
        <w:rPr>
          <w:lang w:eastAsia="ja-JP"/>
        </w:rPr>
      </w:pPr>
      <w:r>
        <w:rPr>
          <w:lang w:eastAsia="ja-JP"/>
        </w:rPr>
        <w:t>fax:(833)728-9278</w:t>
      </w:r>
    </w:p>
    <w:p>
      <w:pPr>
        <w:pStyle w:val="Normal"/>
        <w:jc w:val="both"/>
        <w:rPr>
          <w:lang w:eastAsia="ja-JP"/>
        </w:rPr>
      </w:pPr>
      <w:r>
        <w:rPr>
          <w:lang w:eastAsia="ja-JP"/>
        </w:rPr>
        <w:t>melvin@sofiesentrepreneurialgroup.com</w:t>
      </w:r>
    </w:p>
    <w:p>
      <w:pPr>
        <w:pStyle w:val="Normal"/>
        <w:jc w:val="both"/>
        <w:rPr>
          <w:sz w:val="10"/>
          <w:lang w:eastAsia="ja-JP"/>
        </w:rPr>
      </w:pPr>
      <w:r>
        <w:rPr>
          <w:sz w:val="10"/>
          <w:lang w:eastAsia="ja-JP"/>
        </w:rPr>
      </w:r>
    </w:p>
    <w:p>
      <w:pPr>
        <w:pStyle w:val="Normal"/>
        <w:jc w:val="both"/>
        <w:rPr>
          <w:lang w:eastAsia="ja-JP"/>
        </w:rPr>
      </w:pPr>
      <w:r>
        <w:rPr>
          <w:lang w:eastAsia="ja-JP"/>
        </w:rPr>
        <w:t>Mathew C. Sheridan</w:t>
      </w:r>
    </w:p>
    <w:p>
      <w:pPr>
        <w:pStyle w:val="Normal"/>
        <w:jc w:val="both"/>
        <w:rPr>
          <w:lang w:eastAsia="ja-JP"/>
        </w:rPr>
      </w:pPr>
      <w:r>
        <w:rPr>
          <w:lang w:eastAsia="ja-JP"/>
        </w:rPr>
        <w:t>(628)265-5474</w:t>
      </w:r>
    </w:p>
    <w:p>
      <w:pPr>
        <w:pStyle w:val="Normal"/>
        <w:jc w:val="both"/>
        <w:rPr>
          <w:sz w:val="12"/>
          <w:lang w:eastAsia="ja-JP"/>
        </w:rPr>
      </w:pPr>
      <w:r>
        <w:rPr>
          <w:sz w:val="12"/>
          <w:lang w:eastAsia="ja-JP"/>
        </w:rPr>
      </w:r>
    </w:p>
    <w:p>
      <w:pPr>
        <w:pStyle w:val="Normal"/>
        <w:rPr/>
      </w:pPr>
      <w:r>
        <w:rPr/>
        <w:t xml:space="preserve">August </w:t>
      </w:r>
      <w:r>
        <w:rPr/>
        <w:t>31</w:t>
      </w:r>
      <w:r>
        <w:rPr/>
        <w:t>, 2024</w:t>
      </w:r>
    </w:p>
    <w:p>
      <w:pPr>
        <w:pStyle w:val="Normal"/>
        <w:jc w:val="both"/>
        <w:rPr>
          <w:sz w:val="12"/>
        </w:rPr>
      </w:pPr>
      <w:r>
        <w:rPr>
          <w:sz w:val="12"/>
        </w:rPr>
      </w:r>
    </w:p>
    <w:p>
      <w:pPr>
        <w:pStyle w:val="Heading1"/>
        <w:rPr/>
      </w:pPr>
      <w:r>
        <w:rPr/>
        <w:t xml:space="preserve">RE: 11 units, mixed use Apartments, 2641 Mission St., San Francisco, CALIF 94110 </w:t>
      </w:r>
    </w:p>
    <w:p>
      <w:pPr>
        <w:pStyle w:val="Normal"/>
        <w:jc w:val="both"/>
        <w:rPr>
          <w:sz w:val="16"/>
          <w:lang w:eastAsia="ja-JP"/>
        </w:rPr>
      </w:pPr>
      <w:r>
        <w:rPr>
          <w:sz w:val="16"/>
          <w:lang w:eastAsia="ja-JP"/>
        </w:rPr>
      </w:r>
    </w:p>
    <w:p>
      <w:pPr>
        <w:pStyle w:val="Normal"/>
        <w:jc w:val="both"/>
        <w:rPr>
          <w:lang w:eastAsia="ja-JP"/>
        </w:rPr>
      </w:pPr>
      <w:r>
        <w:rPr/>
        <w:t>Dear Property Owner:</w:t>
      </w:r>
    </w:p>
    <w:p>
      <w:pPr>
        <w:pStyle w:val="Normal"/>
        <w:jc w:val="both"/>
        <w:rPr/>
      </w:pPr>
      <w:r>
        <w:rPr/>
      </w:r>
    </w:p>
    <w:p>
      <w:pPr>
        <w:pStyle w:val="Normal"/>
        <w:jc w:val="both"/>
        <w:rPr/>
      </w:pPr>
      <w:r>
        <w:rPr/>
        <w:t>Please find outlined below the general terms and conditions under which  BUYER</w:t>
      </w:r>
      <w:r>
        <w:rPr>
          <w:lang w:eastAsia="ja-JP"/>
        </w:rPr>
        <w:t xml:space="preserve"> </w:t>
      </w:r>
      <w:r>
        <w:rPr/>
        <w:t xml:space="preserve">would be willing to purchase the Property.  This letter will serve as a non-binding letter of intent between the owner of record (“Seller”) and </w:t>
      </w:r>
    </w:p>
    <w:p>
      <w:pPr>
        <w:pStyle w:val="Normal"/>
        <w:jc w:val="both"/>
        <w:rPr/>
      </w:pPr>
      <w:r>
        <w:rPr/>
        <w:t>Sofie’s Investment Group LLC, or its Assignee (“Buyer”) under the following terms and condi</w:t>
      </w:r>
      <w:r>
        <w:rPr>
          <w:lang w:eastAsia="ja-JP"/>
        </w:rPr>
        <w:t>t</w:t>
      </w:r>
      <w:r>
        <w:rPr/>
        <w:t xml:space="preserve">ions. </w:t>
      </w:r>
    </w:p>
    <w:p>
      <w:pPr>
        <w:pStyle w:val="Normal"/>
        <w:ind w:left="2880"/>
        <w:jc w:val="both"/>
        <w:rPr>
          <w:b/>
        </w:rPr>
      </w:pPr>
      <w:r>
        <w:rPr>
          <w:b/>
        </w:rPr>
        <w:tab/>
        <w:t xml:space="preserve">          </w:t>
      </w:r>
    </w:p>
    <w:p>
      <w:pPr>
        <w:pStyle w:val="Normal"/>
        <w:numPr>
          <w:ilvl w:val="0"/>
          <w:numId w:val="1"/>
        </w:numPr>
        <w:jc w:val="both"/>
        <w:rPr>
          <w:lang w:eastAsia="ja-JP"/>
        </w:rPr>
      </w:pPr>
      <w:r>
        <w:rPr>
          <w:b/>
        </w:rPr>
        <w:t>PURCHASE PRICE:</w:t>
      </w:r>
      <w:r>
        <w:rPr>
          <w:lang w:eastAsia="ja-JP"/>
        </w:rPr>
        <w:t xml:space="preserve">  </w:t>
        <w:tab/>
        <w:t>Buyer shall purchase the Property by one of the three purchase price options to be selected by Seller (circle one):</w:t>
      </w:r>
    </w:p>
    <w:p>
      <w:pPr>
        <w:pStyle w:val="Normal"/>
        <w:ind w:left="720"/>
        <w:jc w:val="both"/>
        <w:rPr>
          <w:lang w:eastAsia="ja-JP"/>
        </w:rPr>
      </w:pPr>
      <w:r>
        <w:rPr>
          <w:lang w:eastAsia="ja-JP"/>
        </w:rPr>
      </w:r>
    </w:p>
    <w:p>
      <w:pPr>
        <w:pStyle w:val="Normal"/>
        <w:ind w:left="1440"/>
        <w:jc w:val="both"/>
        <w:rPr>
          <w:lang w:eastAsia="ja-JP"/>
        </w:rPr>
      </w:pPr>
      <w:r>
        <w:rPr>
          <w:b/>
          <w:lang w:eastAsia="ja-JP"/>
        </w:rPr>
        <w:t>Option 1)</w:t>
      </w:r>
      <w:r>
        <w:rPr>
          <w:lang w:eastAsia="ja-JP"/>
        </w:rPr>
        <w:t xml:space="preserve"> $745,000           </w:t>
        <w:tab/>
        <w:t>$745,000  Seller financing at 5% int./yr., 25 year amortization</w:t>
      </w:r>
    </w:p>
    <w:p>
      <w:pPr>
        <w:pStyle w:val="Normal"/>
        <w:ind w:left="1440"/>
        <w:jc w:val="both"/>
        <w:rPr>
          <w:lang w:eastAsia="ja-JP"/>
        </w:rPr>
      </w:pPr>
      <w:r>
        <w:rPr>
          <w:b/>
          <w:lang w:eastAsia="ja-JP"/>
        </w:rPr>
        <w:t>Total to seller:</w:t>
      </w:r>
      <w:r>
        <w:rPr>
          <w:lang w:eastAsia="ja-JP"/>
        </w:rPr>
        <w:t xml:space="preserve"> </w:t>
      </w:r>
      <w:r>
        <w:rPr>
          <w:b/>
          <w:lang w:eastAsia="ja-JP"/>
        </w:rPr>
        <w:t>$3,795,736.41</w:t>
      </w:r>
      <w:r>
        <w:rPr>
          <w:lang w:eastAsia="ja-JP"/>
        </w:rPr>
        <w:tab/>
        <w:t>with 5 year balloon payment on the balance.  Monthly principal</w:t>
      </w:r>
    </w:p>
    <w:p>
      <w:pPr>
        <w:pStyle w:val="Normal"/>
        <w:ind w:left="1440"/>
        <w:jc w:val="both"/>
        <w:rPr>
          <w:lang w:eastAsia="ja-JP"/>
        </w:rPr>
      </w:pPr>
      <w:r>
        <w:rPr>
          <w:lang w:eastAsia="ja-JP"/>
        </w:rPr>
        <w:tab/>
        <w:tab/>
        <w:tab/>
        <w:tab/>
        <w:t>and interest payment = $4,355.20</w:t>
      </w:r>
    </w:p>
    <w:p>
      <w:pPr>
        <w:pStyle w:val="Normal"/>
        <w:ind w:left="1440"/>
        <w:jc w:val="both"/>
        <w:rPr>
          <w:rFonts w:eastAsia="Times New Roman"/>
        </w:rPr>
      </w:pPr>
      <w:r>
        <w:rPr>
          <w:lang w:eastAsia="ja-JP"/>
        </w:rPr>
        <w:tab/>
        <w:tab/>
        <w:tab/>
        <w:tab/>
      </w:r>
      <w:r>
        <w:rPr>
          <w:rFonts w:eastAsia="Times New Roman"/>
        </w:rPr>
        <w:t>Total of 60 monthly payments:</w:t>
        <w:tab/>
        <w:tab/>
        <w:t xml:space="preserve">         $3,135,744</w:t>
      </w:r>
    </w:p>
    <w:p>
      <w:pPr>
        <w:pStyle w:val="Normal"/>
        <w:ind w:firstLine="720" w:left="720"/>
        <w:rPr>
          <w:rFonts w:eastAsia="Times New Roman"/>
        </w:rPr>
      </w:pPr>
      <w:r>
        <w:rPr>
          <w:rFonts w:eastAsia="Times New Roman"/>
        </w:rPr>
        <w:t xml:space="preserve">        </w:t>
      </w:r>
      <w:r>
        <w:rPr>
          <w:rFonts w:eastAsia="Times New Roman"/>
        </w:rPr>
        <w:tab/>
        <w:tab/>
        <w:tab/>
        <w:tab/>
        <w:t>Balloon payment in 5 years:</w:t>
        <w:tab/>
        <w:t xml:space="preserve"> </w:t>
        <w:tab/>
        <w:t xml:space="preserve">          $659,922.41</w:t>
      </w:r>
    </w:p>
    <w:p>
      <w:pPr>
        <w:pStyle w:val="Normal"/>
        <w:ind w:left="1440"/>
        <w:rPr>
          <w:rFonts w:eastAsia="Times New Roman"/>
        </w:rPr>
      </w:pPr>
      <w:r>
        <w:rPr>
          <w:rFonts w:eastAsia="Times New Roman"/>
        </w:rPr>
        <w:tab/>
        <w:tab/>
        <w:tab/>
        <w:tab/>
      </w:r>
      <w:r>
        <w:rPr>
          <w:rFonts w:eastAsia="Times New Roman"/>
          <w:b/>
        </w:rPr>
        <w:t>Total of 5 Year Payments:</w:t>
        <w:tab/>
      </w:r>
      <w:r>
        <w:rPr>
          <w:rFonts w:eastAsia="Times New Roman"/>
        </w:rPr>
        <w:t xml:space="preserve">  </w:t>
        <w:tab/>
        <w:t xml:space="preserve">         </w:t>
      </w:r>
      <w:r>
        <w:rPr>
          <w:rFonts w:eastAsia="Times New Roman"/>
          <w:b/>
          <w:u w:val="single"/>
        </w:rPr>
        <w:t>$3,795,736.41</w:t>
      </w:r>
    </w:p>
    <w:p>
      <w:pPr>
        <w:pStyle w:val="Normal"/>
        <w:ind w:left="1440"/>
        <w:rPr>
          <w:rFonts w:eastAsia="Times New Roman"/>
        </w:rPr>
      </w:pPr>
      <w:r>
        <w:rPr>
          <w:rFonts w:eastAsia="Times New Roman"/>
        </w:rPr>
      </w:r>
    </w:p>
    <w:p>
      <w:pPr>
        <w:pStyle w:val="Normal"/>
        <w:ind w:left="1440"/>
        <w:rPr>
          <w:rFonts w:eastAsia="Times New Roman"/>
        </w:rPr>
      </w:pPr>
      <w:r>
        <w:rPr>
          <w:rFonts w:eastAsia="Times New Roman"/>
        </w:rPr>
      </w:r>
    </w:p>
    <w:p>
      <w:pPr>
        <w:pStyle w:val="Normal"/>
        <w:ind w:left="1440"/>
        <w:rPr>
          <w:rFonts w:eastAsia="Times New Roman"/>
        </w:rPr>
      </w:pPr>
      <w:r>
        <w:rPr>
          <w:rFonts w:eastAsia="Times New Roman"/>
        </w:rPr>
      </w:r>
    </w:p>
    <w:p>
      <w:pPr>
        <w:pStyle w:val="Normal"/>
        <w:ind w:left="1440"/>
        <w:rPr>
          <w:rFonts w:eastAsia="Times New Roman"/>
        </w:rPr>
      </w:pPr>
      <w:r>
        <w:rPr>
          <w:rFonts w:eastAsia="Times New Roman"/>
          <w:b/>
        </w:rPr>
        <w:t>Option 2)</w:t>
      </w:r>
      <w:r>
        <w:rPr>
          <w:rFonts w:eastAsia="Times New Roman"/>
        </w:rPr>
        <w:t xml:space="preserve"> $735,000 </w:t>
        <w:tab/>
        <w:tab/>
        <w:t>15% down payment ($110,250)</w:t>
      </w:r>
    </w:p>
    <w:p>
      <w:pPr>
        <w:pStyle w:val="Normal"/>
        <w:ind w:left="1440"/>
        <w:rPr>
          <w:rFonts w:eastAsia="Times New Roman"/>
        </w:rPr>
      </w:pPr>
      <w:r>
        <w:rPr>
          <w:rFonts w:eastAsia="Times New Roman"/>
          <w:b/>
        </w:rPr>
        <w:t xml:space="preserve">Total to seller: $3,767,067.19 </w:t>
        <w:tab/>
        <w:t>$624,750</w:t>
      </w:r>
      <w:r>
        <w:rPr>
          <w:rFonts w:eastAsia="Times New Roman"/>
        </w:rPr>
        <w:t xml:space="preserve"> Seller financing at 5% int./yr., 25 year amortization</w:t>
      </w:r>
    </w:p>
    <w:p>
      <w:pPr>
        <w:pStyle w:val="Normal"/>
        <w:ind w:firstLine="720" w:left="3600"/>
        <w:rPr>
          <w:lang w:eastAsia="ja-JP"/>
        </w:rPr>
      </w:pPr>
      <w:r>
        <w:rPr>
          <w:lang w:eastAsia="ja-JP"/>
        </w:rPr>
        <w:t>with 5 year balloon payment on the balance. Monthly principal</w:t>
      </w:r>
    </w:p>
    <w:p>
      <w:pPr>
        <w:pStyle w:val="Normal"/>
        <w:ind w:firstLine="720" w:left="3600"/>
        <w:rPr>
          <w:rFonts w:eastAsia="Times New Roman"/>
        </w:rPr>
      </w:pPr>
      <w:r>
        <w:rPr>
          <w:lang w:eastAsia="ja-JP"/>
        </w:rPr>
        <w:t xml:space="preserve">and interest payment = </w:t>
      </w:r>
      <w:r>
        <w:rPr>
          <w:rFonts w:eastAsia="Times New Roman"/>
          <w:lang w:eastAsia="ja-JP"/>
        </w:rPr>
        <w:t>$4,296.74</w:t>
      </w:r>
    </w:p>
    <w:p>
      <w:pPr>
        <w:pStyle w:val="Normal"/>
        <w:ind w:firstLine="720" w:left="3600"/>
        <w:rPr>
          <w:rFonts w:eastAsia="Times New Roman"/>
        </w:rPr>
      </w:pPr>
      <w:r>
        <w:rPr>
          <w:rFonts w:eastAsia="Times New Roman"/>
        </w:rPr>
        <w:t>Down Payment at closing:</w:t>
        <w:tab/>
        <w:tab/>
        <w:tab/>
        <w:t xml:space="preserve">          $22, 350</w:t>
      </w:r>
    </w:p>
    <w:p>
      <w:pPr>
        <w:pStyle w:val="Normal"/>
        <w:ind w:firstLine="720" w:left="3600"/>
        <w:rPr>
          <w:rFonts w:eastAsia="Times New Roman"/>
        </w:rPr>
      </w:pPr>
      <w:r>
        <w:rPr>
          <w:rFonts w:eastAsia="Times New Roman"/>
        </w:rPr>
        <w:t>Total of 60 monthly payments:</w:t>
        <w:tab/>
        <w:tab/>
        <w:t xml:space="preserve">          $3,093,652.80</w:t>
      </w:r>
    </w:p>
    <w:p>
      <w:pPr>
        <w:pStyle w:val="Normal"/>
        <w:ind w:firstLine="720" w:left="3600"/>
        <w:rPr>
          <w:rFonts w:eastAsia="Times New Roman"/>
          <w:b/>
          <w:u w:val="single"/>
        </w:rPr>
      </w:pPr>
      <w:r>
        <w:rPr>
          <w:rFonts w:eastAsia="Times New Roman"/>
        </w:rPr>
        <w:t xml:space="preserve">Balloon payment in 5 years:  </w:t>
        <w:tab/>
        <w:tab/>
        <w:t xml:space="preserve">          </w:t>
      </w:r>
      <w:r>
        <w:rPr>
          <w:rFonts w:eastAsia="Times New Roman"/>
          <w:b/>
          <w:u w:val="single"/>
        </w:rPr>
        <w:t>$651,064.39</w:t>
      </w:r>
    </w:p>
    <w:p>
      <w:pPr>
        <w:pStyle w:val="Normal"/>
        <w:ind w:firstLine="720" w:left="3600"/>
        <w:rPr>
          <w:rFonts w:eastAsia="Times New Roman"/>
        </w:rPr>
      </w:pPr>
      <w:r>
        <w:rPr>
          <w:rFonts w:eastAsia="Times New Roman"/>
          <w:b/>
        </w:rPr>
        <w:t>Total of 5 Year Payments:</w:t>
        <w:tab/>
      </w:r>
      <w:r>
        <w:rPr>
          <w:rFonts w:eastAsia="Times New Roman"/>
        </w:rPr>
        <w:t xml:space="preserve">  </w:t>
        <w:tab/>
        <w:t xml:space="preserve">         </w:t>
      </w:r>
      <w:r>
        <w:rPr>
          <w:rFonts w:eastAsia="Times New Roman"/>
          <w:b/>
          <w:u w:val="single"/>
        </w:rPr>
        <w:t>$3,767,067.19</w:t>
      </w:r>
    </w:p>
    <w:p>
      <w:pPr>
        <w:pStyle w:val="Normal"/>
        <w:ind w:firstLine="720" w:left="3600"/>
        <w:rPr>
          <w:rFonts w:eastAsia="Times New Roman"/>
        </w:rPr>
      </w:pPr>
      <w:r>
        <w:rPr>
          <w:rFonts w:eastAsia="Times New Roman"/>
        </w:rPr>
      </w:r>
    </w:p>
    <w:p>
      <w:pPr>
        <w:pStyle w:val="Normal"/>
        <w:ind w:firstLine="720" w:left="3600"/>
        <w:rPr>
          <w:rFonts w:eastAsia="Times New Roman"/>
        </w:rPr>
      </w:pPr>
      <w:r>
        <w:rPr>
          <w:rFonts w:eastAsia="Times New Roman"/>
        </w:rPr>
      </w:r>
    </w:p>
    <w:p>
      <w:pPr>
        <w:pStyle w:val="Normal"/>
        <w:ind w:firstLine="720" w:left="3600"/>
        <w:rPr>
          <w:rFonts w:eastAsia="Times New Roman"/>
        </w:rPr>
      </w:pPr>
      <w:r>
        <w:rPr>
          <w:rFonts w:eastAsia="Times New Roman"/>
        </w:rPr>
      </w:r>
    </w:p>
    <w:p>
      <w:pPr>
        <w:pStyle w:val="Normal"/>
        <w:rPr>
          <w:rFonts w:eastAsia="Times New Roman"/>
        </w:rPr>
      </w:pPr>
      <w:r>
        <w:rPr>
          <w:rFonts w:eastAsia="Times New Roman"/>
        </w:rPr>
        <w:tab/>
        <w:tab/>
      </w:r>
      <w:r>
        <w:rPr>
          <w:rFonts w:eastAsia="Times New Roman"/>
          <w:b/>
        </w:rPr>
        <w:t>Option 3)</w:t>
      </w:r>
      <w:r>
        <w:rPr>
          <w:rFonts w:eastAsia="Times New Roman"/>
        </w:rPr>
        <w:t xml:space="preserve"> $690,000 </w:t>
        <w:tab/>
        <w:tab/>
        <w:t xml:space="preserve">All Cash to Seller at closing                                              </w:t>
      </w:r>
    </w:p>
    <w:p>
      <w:pPr>
        <w:pStyle w:val="Normal"/>
        <w:ind w:firstLine="720" w:left="3600"/>
        <w:rPr>
          <w:rFonts w:eastAsia="Times New Roman"/>
        </w:rPr>
      </w:pPr>
      <w:r>
        <w:rPr>
          <w:rFonts w:eastAsia="Times New Roman"/>
        </w:rPr>
        <w:t xml:space="preserve">25% down payment at closing </w:t>
        <w:tab/>
        <w:tab/>
        <w:t xml:space="preserve">         $172,500</w:t>
      </w:r>
    </w:p>
    <w:p>
      <w:pPr>
        <w:pStyle w:val="Normal"/>
        <w:rPr>
          <w:rFonts w:eastAsia="Times New Roman"/>
        </w:rPr>
      </w:pPr>
      <w:r>
        <w:rPr>
          <w:rFonts w:eastAsia="Times New Roman"/>
        </w:rPr>
        <w:tab/>
        <w:tab/>
        <w:tab/>
        <w:tab/>
        <w:tab/>
        <w:tab/>
        <w:t>Balance paid at closing with 3</w:t>
      </w:r>
      <w:r>
        <w:rPr>
          <w:rFonts w:eastAsia="Times New Roman"/>
          <w:vertAlign w:val="superscript"/>
        </w:rPr>
        <w:t>rd</w:t>
      </w:r>
      <w:r>
        <w:rPr>
          <w:rFonts w:eastAsia="Times New Roman"/>
        </w:rPr>
        <w:t xml:space="preserve"> party financing      $517,500</w:t>
      </w:r>
    </w:p>
    <w:p>
      <w:pPr>
        <w:pStyle w:val="Normal"/>
        <w:rPr>
          <w:rFonts w:eastAsia="Times New Roman"/>
        </w:rPr>
      </w:pPr>
      <w:r>
        <w:rPr>
          <w:rFonts w:eastAsia="Times New Roman"/>
        </w:rPr>
        <w:tab/>
        <w:tab/>
        <w:tab/>
        <w:tab/>
        <w:tab/>
        <w:tab/>
      </w:r>
      <w:r>
        <w:rPr>
          <w:rFonts w:eastAsia="Times New Roman"/>
          <w:b/>
        </w:rPr>
        <w:t>Total to Seller at closing</w:t>
      </w:r>
      <w:r>
        <w:rPr>
          <w:rFonts w:eastAsia="Times New Roman"/>
        </w:rPr>
        <w:tab/>
        <w:tab/>
        <w:tab/>
        <w:t xml:space="preserve">          </w:t>
      </w:r>
      <w:r>
        <w:rPr>
          <w:rFonts w:eastAsia="Times New Roman"/>
          <w:b/>
          <w:u w:val="single"/>
        </w:rPr>
        <w:t>$690,000</w:t>
      </w:r>
    </w:p>
    <w:p>
      <w:pPr>
        <w:pStyle w:val="Normal"/>
        <w:rPr>
          <w:rFonts w:eastAsia="Times New Roman"/>
        </w:rPr>
      </w:pPr>
      <w:r>
        <w:rPr>
          <w:rFonts w:eastAsia="Times New Roman"/>
        </w:rPr>
      </w:r>
    </w:p>
    <w:p>
      <w:pPr>
        <w:pStyle w:val="Normal"/>
        <w:rPr>
          <w:rFonts w:eastAsia="Times New Roman"/>
        </w:rPr>
      </w:pPr>
      <w:r>
        <w:rPr>
          <w:rFonts w:eastAsia="Times New Roman"/>
        </w:rPr>
      </w:r>
    </w:p>
    <w:p>
      <w:pPr>
        <w:pStyle w:val="Normal"/>
        <w:rPr>
          <w:rFonts w:eastAsia="Times New Roman"/>
        </w:rPr>
      </w:pPr>
      <w:r>
        <w:rPr>
          <w:rFonts w:eastAsia="Times New Roman"/>
        </w:rPr>
        <w:tab/>
      </w:r>
    </w:p>
    <w:p>
      <w:pPr>
        <w:pStyle w:val="Normal"/>
        <w:ind w:left="1440"/>
        <w:rPr>
          <w:rFonts w:eastAsia="Times New Roman"/>
          <w:sz w:val="16"/>
        </w:rPr>
      </w:pPr>
      <w:r>
        <w:rPr>
          <w:rFonts w:eastAsia="Times New Roman"/>
          <w:sz w:val="16"/>
        </w:rPr>
      </w:r>
    </w:p>
    <w:p>
      <w:pPr>
        <w:pStyle w:val="Normal"/>
        <w:ind w:left="1440"/>
        <w:rPr>
          <w:rFonts w:eastAsia="Times New Roman"/>
        </w:rPr>
      </w:pPr>
      <w:r>
        <w:rPr>
          <w:rFonts w:eastAsia="Times New Roman"/>
        </w:rPr>
        <w:t>If there is an existing mortgage, Options 1 or 2 shall be recorded as a wrap-around mortgage to the existing mortgage.  For Options 1 or 2, the property taxes and insurance shall be prorated and added to the monthly mortgage payment shown and escrowed with a 3</w:t>
      </w:r>
      <w:r>
        <w:rPr>
          <w:rFonts w:eastAsia="Times New Roman"/>
          <w:vertAlign w:val="superscript"/>
        </w:rPr>
        <w:t>rd</w:t>
      </w:r>
      <w:r>
        <w:rPr>
          <w:rFonts w:eastAsia="Times New Roman"/>
        </w:rPr>
        <w:t xml:space="preserve"> party for annual payment.</w:t>
      </w:r>
    </w:p>
    <w:p>
      <w:pPr>
        <w:pStyle w:val="Normal"/>
        <w:rPr>
          <w:rFonts w:eastAsia="Times New Roman"/>
          <w:sz w:val="12"/>
        </w:rPr>
      </w:pPr>
      <w:r>
        <w:rPr>
          <w:rFonts w:eastAsia="Times New Roman"/>
          <w:sz w:val="12"/>
        </w:rPr>
      </w:r>
    </w:p>
    <w:p>
      <w:pPr>
        <w:pStyle w:val="ListParagraph"/>
        <w:numPr>
          <w:ilvl w:val="0"/>
          <w:numId w:val="1"/>
        </w:numPr>
        <w:rPr>
          <w:rFonts w:eastAsia="Times New Roman"/>
        </w:rPr>
      </w:pPr>
      <w:r>
        <w:rPr>
          <w:b/>
          <w:lang w:eastAsia="ja-JP"/>
        </w:rPr>
        <w:t>REPAIR ALLOWANCE</w:t>
      </w:r>
      <w:r>
        <w:rPr>
          <w:lang w:eastAsia="ja-JP"/>
        </w:rPr>
        <w:t xml:space="preserve"> – Seller shall grant Buyer $250 per door repair allowance at closing. Seller shall make all vacant units rent-ready prior to closing.</w:t>
      </w:r>
    </w:p>
    <w:p>
      <w:pPr>
        <w:pStyle w:val="Normal"/>
        <w:ind w:left="720"/>
        <w:jc w:val="both"/>
        <w:rPr>
          <w:sz w:val="12"/>
          <w:lang w:eastAsia="ja-JP"/>
        </w:rPr>
      </w:pPr>
      <w:r>
        <w:rPr>
          <w:sz w:val="12"/>
          <w:lang w:eastAsia="ja-JP"/>
        </w:rPr>
      </w:r>
    </w:p>
    <w:p>
      <w:pPr>
        <w:pStyle w:val="Normal"/>
        <w:widowControl w:val="false"/>
        <w:numPr>
          <w:ilvl w:val="0"/>
          <w:numId w:val="1"/>
        </w:numPr>
        <w:jc w:val="both"/>
        <w:rPr/>
      </w:pPr>
      <w:r>
        <w:rPr>
          <w:b/>
        </w:rPr>
        <w:t xml:space="preserve">INSPECTION PERIOD:  </w:t>
      </w:r>
      <w:r>
        <w:rPr/>
        <w:t>Buyer shall have forty five (45) days from the date of execution of formal contract to perform inspections and examine the records of the Property. If, for any reason, during this inspection period, Buyer shall find the Property unsuitable, the Buyer, by written notice to Seller, shall have the right to declare this Letter and any Contract of Sale based herein null and void and receive a refund of any Earnest Money that has been deposited.</w:t>
      </w:r>
    </w:p>
    <w:p>
      <w:pPr>
        <w:pStyle w:val="Normal"/>
        <w:widowControl w:val="false"/>
        <w:ind w:left="720"/>
        <w:jc w:val="both"/>
        <w:rPr>
          <w:sz w:val="16"/>
        </w:rPr>
      </w:pPr>
      <w:r>
        <w:rPr>
          <w:sz w:val="16"/>
        </w:rPr>
      </w:r>
    </w:p>
    <w:p>
      <w:pPr>
        <w:pStyle w:val="Normal"/>
        <w:widowControl w:val="false"/>
        <w:numPr>
          <w:ilvl w:val="0"/>
          <w:numId w:val="1"/>
        </w:numPr>
        <w:jc w:val="both"/>
        <w:rPr/>
      </w:pPr>
      <w:r>
        <w:rPr>
          <w:b/>
        </w:rPr>
        <w:t xml:space="preserve">FINANCING PERIOD – </w:t>
      </w:r>
      <w:r>
        <w:rPr/>
        <w:t>Buyer shall have sixty (60) days from the date of execution of formal contract to obtain a mortgage commitment from a lending institution of the Buyer’s choice for said transaction. If the Buyer is unable to secure a loan commitment, the Buyer, by written notice to Seller, shall have the right to declare this Letter and any Contract of Sale based herein null and void and receive a refund of any Earnest Money that has been deposited.</w:t>
      </w:r>
    </w:p>
    <w:p>
      <w:pPr>
        <w:pStyle w:val="Normal"/>
        <w:jc w:val="both"/>
        <w:rPr>
          <w:b/>
        </w:rPr>
      </w:pPr>
      <w:r>
        <w:rPr>
          <w:b/>
        </w:rPr>
      </w:r>
    </w:p>
    <w:p>
      <w:pPr>
        <w:pStyle w:val="Normal"/>
        <w:widowControl w:val="false"/>
        <w:numPr>
          <w:ilvl w:val="0"/>
          <w:numId w:val="1"/>
        </w:numPr>
        <w:jc w:val="both"/>
        <w:rPr/>
      </w:pPr>
      <w:r>
        <w:rPr>
          <w:b/>
        </w:rPr>
        <w:t xml:space="preserve">EARNEST MONEY DEPOSIT: </w:t>
      </w:r>
      <w:r>
        <w:rPr/>
        <w:t>An Earnest Money Deposit in the amount of $500</w:t>
      </w:r>
      <w:r>
        <w:rPr>
          <w:lang w:eastAsia="ja-JP"/>
        </w:rPr>
        <w:t xml:space="preserve">.00 </w:t>
      </w:r>
      <w:r>
        <w:rPr/>
        <w:t>will be deposited with the escrow agent</w:t>
      </w:r>
      <w:r>
        <w:rPr>
          <w:lang w:eastAsia="ja-JP"/>
        </w:rPr>
        <w:t xml:space="preserve"> </w:t>
      </w:r>
      <w:r>
        <w:rPr/>
        <w:t xml:space="preserve">within five (5) business days after signing the Purchase Agreement. </w:t>
      </w:r>
    </w:p>
    <w:p>
      <w:pPr>
        <w:pStyle w:val="ListParagraph"/>
        <w:rPr/>
      </w:pPr>
      <w:r>
        <w:rPr/>
      </w:r>
    </w:p>
    <w:p>
      <w:pPr>
        <w:pStyle w:val="Normal"/>
        <w:widowControl w:val="false"/>
        <w:numPr>
          <w:ilvl w:val="0"/>
          <w:numId w:val="1"/>
        </w:numPr>
        <w:jc w:val="both"/>
        <w:rPr/>
      </w:pPr>
      <w:r>
        <w:rPr>
          <w:b/>
        </w:rPr>
        <w:t>PURCHASE AGREEMENT:</w:t>
      </w:r>
      <w:r>
        <w:rPr/>
        <w:t xml:space="preserve"> Both parties will strive to execute a mutually acceptable Purchase Agreement  within </w:t>
      </w:r>
      <w:r>
        <w:rPr>
          <w:lang w:eastAsia="ja-JP"/>
        </w:rPr>
        <w:t xml:space="preserve">10 business days </w:t>
      </w:r>
      <w:r>
        <w:rPr/>
        <w:t>after the execution of this Letter of Intent.  Buyer and Seller responsibilities for closing fees will be per the Texas Commercial Contract.</w:t>
      </w:r>
    </w:p>
    <w:p>
      <w:pPr>
        <w:pStyle w:val="Normal"/>
        <w:widowControl w:val="false"/>
        <w:ind w:left="1440"/>
        <w:jc w:val="both"/>
        <w:rPr/>
      </w:pPr>
      <w:r>
        <w:rPr/>
      </w:r>
    </w:p>
    <w:p>
      <w:pPr>
        <w:pStyle w:val="Normal"/>
        <w:widowControl w:val="false"/>
        <w:numPr>
          <w:ilvl w:val="0"/>
          <w:numId w:val="1"/>
        </w:numPr>
        <w:jc w:val="both"/>
        <w:rPr/>
      </w:pPr>
      <w:r>
        <w:rPr>
          <w:b/>
        </w:rPr>
        <w:t>BROKERAGE FEES:</w:t>
      </w:r>
      <w:r>
        <w:rPr/>
        <w:t xml:space="preserve"> To be paid by Seller as per seller agreement with Seller’s agent.  There is no Buyer agent fee due.</w:t>
      </w:r>
    </w:p>
    <w:p>
      <w:pPr>
        <w:pStyle w:val="Normal"/>
        <w:jc w:val="both"/>
        <w:rPr/>
      </w:pPr>
      <w:r>
        <w:rPr/>
      </w:r>
    </w:p>
    <w:p>
      <w:pPr>
        <w:pStyle w:val="Normal"/>
        <w:widowControl w:val="false"/>
        <w:numPr>
          <w:ilvl w:val="0"/>
          <w:numId w:val="1"/>
        </w:numPr>
        <w:jc w:val="both"/>
        <w:rPr/>
      </w:pPr>
      <w:r>
        <w:rPr>
          <w:b/>
        </w:rPr>
        <w:t>CLOSING DATE:</w:t>
      </w:r>
      <w:r>
        <w:rPr/>
        <w:t xml:space="preserve"> The Closing will occur on or before sixty (60) days after the Effective Date of the Purchase Agreement.  Should additional time be required, an additional 30-day extension shall be available upon written request from Buyer. Such written request shall be made prior to the target closing date.</w:t>
      </w:r>
    </w:p>
    <w:p>
      <w:pPr>
        <w:pStyle w:val="Normal"/>
        <w:widowControl w:val="false"/>
        <w:numPr>
          <w:ilvl w:val="0"/>
          <w:numId w:val="0"/>
        </w:numPr>
        <w:ind w:hanging="0" w:left="1440"/>
        <w:jc w:val="both"/>
        <w:rPr/>
      </w:pPr>
      <w:r>
        <w:rPr/>
      </w:r>
    </w:p>
    <w:p>
      <w:pPr>
        <w:pStyle w:val="Normal"/>
        <w:widowControl w:val="false"/>
        <w:numPr>
          <w:ilvl w:val="0"/>
          <w:numId w:val="1"/>
        </w:numPr>
        <w:jc w:val="both"/>
        <w:rPr/>
      </w:pPr>
      <w:r>
        <w:rPr>
          <w:b w:val="false"/>
          <w:bCs w:val="false"/>
        </w:rPr>
        <w:t>Confidentiality</w:t>
      </w:r>
      <w:r>
        <w:rPr/>
        <w:t>:  This proposal and all discussions related thereto shall be had in confidence by Buyer and Seller.</w:t>
      </w:r>
    </w:p>
    <w:p>
      <w:pPr>
        <w:pStyle w:val="Normal"/>
        <w:widowControl w:val="false"/>
        <w:numPr>
          <w:ilvl w:val="0"/>
          <w:numId w:val="1"/>
        </w:numPr>
        <w:jc w:val="both"/>
        <w:rPr/>
      </w:pPr>
      <w:r>
        <w:rPr/>
      </w:r>
    </w:p>
    <w:p>
      <w:pPr>
        <w:pStyle w:val="Normal"/>
        <w:widowControl w:val="false"/>
        <w:numPr>
          <w:ilvl w:val="0"/>
          <w:numId w:val="0"/>
        </w:numPr>
        <w:ind w:hanging="0" w:left="1440"/>
        <w:jc w:val="both"/>
        <w:rPr/>
      </w:pPr>
      <w:r>
        <w:rPr>
          <w:b/>
          <w:bCs/>
        </w:rPr>
        <w:t>Exclusivity</w:t>
      </w:r>
      <w:r>
        <w:rPr/>
        <w:t>:  During the period from the date the parties have executed this LOI to the execution of the binding Purchase and Sale Agreement 10 days after execution of the LOI hereinafter “the Exclusivity Period”.  Seller agrees to negotiate in good faith exclusively with Buyer with respect to any sale of the Property.</w:t>
      </w:r>
    </w:p>
    <w:p>
      <w:pPr>
        <w:pStyle w:val="Normal"/>
        <w:widowControl w:val="false"/>
        <w:numPr>
          <w:ilvl w:val="0"/>
          <w:numId w:val="1"/>
        </w:numPr>
        <w:jc w:val="both"/>
        <w:rPr/>
      </w:pPr>
      <w:r>
        <w:rPr/>
      </w:r>
    </w:p>
    <w:p>
      <w:pPr>
        <w:pStyle w:val="Normal"/>
        <w:widowControl w:val="false"/>
        <w:jc w:val="both"/>
        <w:rPr/>
      </w:pPr>
      <w:r>
        <w:rPr/>
        <w:tab/>
        <w:tab/>
      </w:r>
      <w:r>
        <w:rPr>
          <w:b/>
          <w:bCs/>
        </w:rPr>
        <w:t>Non-solicitation</w:t>
      </w:r>
      <w:r>
        <w:rPr/>
        <w:t>:  During the Exclusivity Period provided for herein above, Seller agrees not to utilize this LOI to solicit other offers or to modify, renegotiate or otherwise improve the terms and conditions of any other offer heretofore or hereafter received by Seller with respect to the Property.</w:t>
      </w:r>
    </w:p>
    <w:p>
      <w:pPr>
        <w:pStyle w:val="Normal"/>
        <w:widowControl w:val="false"/>
        <w:jc w:val="both"/>
        <w:rPr>
          <w:b/>
          <w:bCs/>
          <w:sz w:val="22"/>
          <w:szCs w:val="22"/>
        </w:rPr>
      </w:pPr>
      <w:r>
        <w:rPr>
          <w:b/>
          <w:bCs/>
          <w:sz w:val="22"/>
          <w:szCs w:val="22"/>
        </w:rPr>
      </w:r>
    </w:p>
    <w:p>
      <w:pPr>
        <w:pStyle w:val="Normal"/>
        <w:widowControl w:val="false"/>
        <w:jc w:val="both"/>
        <w:rPr/>
      </w:pPr>
      <w:r>
        <w:rPr>
          <w:b/>
          <w:bCs/>
          <w:sz w:val="22"/>
          <w:szCs w:val="22"/>
        </w:rPr>
        <w:tab/>
        <w:t>12.</w:t>
        <w:tab/>
        <w:t>Transaction Expenses</w:t>
      </w:r>
      <w:r>
        <w:rPr>
          <w:sz w:val="22"/>
          <w:szCs w:val="22"/>
        </w:rPr>
        <w:t>: Buyer and Seller shall split all escrow agent fees and base title policy expense. Each party shall pay their own attorneys.  All other closing costs to be dictated by the Purchase and Sale Agreement.</w:t>
      </w:r>
    </w:p>
    <w:p>
      <w:pPr>
        <w:pStyle w:val="Normal"/>
        <w:jc w:val="both"/>
        <w:rPr/>
      </w:pPr>
      <w:r>
        <w:rPr/>
      </w:r>
    </w:p>
    <w:p>
      <w:pPr>
        <w:pStyle w:val="Normal"/>
        <w:jc w:val="both"/>
        <w:rPr/>
      </w:pPr>
      <w:r>
        <w:rPr/>
        <w:t>Due Diligence Materials:</w:t>
      </w:r>
    </w:p>
    <w:p>
      <w:pPr>
        <w:pStyle w:val="Normal"/>
        <w:jc w:val="both"/>
        <w:rPr/>
      </w:pPr>
      <w:r>
        <w:rPr/>
      </w:r>
    </w:p>
    <w:p>
      <w:pPr>
        <w:pStyle w:val="Normal"/>
        <w:jc w:val="both"/>
        <w:rPr/>
      </w:pPr>
      <w:r>
        <w:rPr/>
        <w:t xml:space="preserve">    • </w:t>
      </w:r>
      <w:r>
        <w:rPr/>
        <w:t>Existing Title Insurance Policy</w:t>
      </w:r>
    </w:p>
    <w:p>
      <w:pPr>
        <w:pStyle w:val="Normal"/>
        <w:jc w:val="both"/>
        <w:rPr/>
      </w:pPr>
      <w:r>
        <w:rPr/>
        <w:t xml:space="preserve">    • </w:t>
      </w:r>
      <w:r>
        <w:rPr/>
        <w:t>Existing ALTA Survey</w:t>
      </w:r>
    </w:p>
    <w:p>
      <w:pPr>
        <w:pStyle w:val="Normal"/>
        <w:jc w:val="both"/>
        <w:rPr/>
      </w:pPr>
      <w:r>
        <w:rPr/>
        <w:t xml:space="preserve">    • </w:t>
      </w:r>
      <w:r>
        <w:rPr/>
        <w:t>Tenant Leases, Amendments, Default Notices and pending evictions</w:t>
      </w:r>
    </w:p>
    <w:p>
      <w:pPr>
        <w:pStyle w:val="Normal"/>
        <w:jc w:val="both"/>
        <w:rPr/>
      </w:pPr>
      <w:r>
        <w:rPr/>
        <w:t xml:space="preserve">    • </w:t>
      </w:r>
      <w:r>
        <w:rPr/>
        <w:t>Invoices for Electricity, water, sewer, trash removal, security, property management</w:t>
      </w:r>
    </w:p>
    <w:p>
      <w:pPr>
        <w:pStyle w:val="Normal"/>
        <w:jc w:val="both"/>
        <w:rPr/>
      </w:pPr>
      <w:r>
        <w:rPr/>
        <w:t xml:space="preserve">    • </w:t>
      </w:r>
      <w:r>
        <w:rPr/>
        <w:t>Real Estate Property Tax Statements (Current and Prior (2) years))</w:t>
      </w:r>
    </w:p>
    <w:p>
      <w:pPr>
        <w:pStyle w:val="Normal"/>
        <w:jc w:val="both"/>
        <w:rPr/>
      </w:pPr>
      <w:r>
        <w:rPr/>
        <w:t xml:space="preserve">    • </w:t>
      </w:r>
      <w:r>
        <w:rPr/>
        <w:t>Accounts Receivable (Current)</w:t>
      </w:r>
    </w:p>
    <w:p>
      <w:pPr>
        <w:pStyle w:val="Normal"/>
        <w:jc w:val="both"/>
        <w:rPr/>
      </w:pPr>
      <w:r>
        <w:rPr/>
        <w:t xml:space="preserve">    • </w:t>
      </w:r>
      <w:r>
        <w:rPr/>
        <w:t>General Ledger (Current and Prior (2) years)</w:t>
      </w:r>
    </w:p>
    <w:p>
      <w:pPr>
        <w:pStyle w:val="Normal"/>
        <w:jc w:val="both"/>
        <w:rPr/>
      </w:pPr>
      <w:r>
        <w:rPr/>
        <w:t xml:space="preserve">    • </w:t>
      </w:r>
      <w:r>
        <w:rPr/>
        <w:t>Operating Statement (Current and Prior (2) years)</w:t>
      </w:r>
    </w:p>
    <w:p>
      <w:pPr>
        <w:pStyle w:val="Normal"/>
        <w:jc w:val="both"/>
        <w:rPr/>
      </w:pPr>
      <w:r>
        <w:rPr/>
        <w:t xml:space="preserve">    • </w:t>
      </w:r>
      <w:r>
        <w:rPr/>
        <w:t>Rent Roll (Current and Prior (2) year-ends)</w:t>
      </w:r>
    </w:p>
    <w:p>
      <w:pPr>
        <w:pStyle w:val="Normal"/>
        <w:jc w:val="both"/>
        <w:rPr/>
      </w:pPr>
      <w:r>
        <w:rPr/>
        <w:t xml:space="preserve">    • </w:t>
      </w:r>
      <w:r>
        <w:rPr/>
        <w:t>Tenant Billings (Current)</w:t>
      </w:r>
    </w:p>
    <w:p>
      <w:pPr>
        <w:pStyle w:val="Normal"/>
        <w:jc w:val="both"/>
        <w:rPr/>
      </w:pPr>
      <w:r>
        <w:rPr/>
        <w:t xml:space="preserve">    • </w:t>
      </w:r>
      <w:r>
        <w:rPr/>
        <w:t>Schedule of Security Deposits</w:t>
      </w:r>
    </w:p>
    <w:p>
      <w:pPr>
        <w:pStyle w:val="Normal"/>
        <w:jc w:val="both"/>
        <w:rPr/>
      </w:pPr>
      <w:r>
        <w:rPr/>
        <w:t xml:space="preserve">    • </w:t>
      </w:r>
      <w:r>
        <w:rPr/>
        <w:t>Tenant Ledgers</w:t>
      </w:r>
    </w:p>
    <w:p>
      <w:pPr>
        <w:pStyle w:val="Normal"/>
        <w:jc w:val="both"/>
        <w:rPr/>
      </w:pPr>
      <w:r>
        <w:rPr/>
        <w:t xml:space="preserve">    • </w:t>
      </w:r>
      <w:r>
        <w:rPr/>
        <w:t>Service Contracts</w:t>
      </w:r>
    </w:p>
    <w:p>
      <w:pPr>
        <w:pStyle w:val="Normal"/>
        <w:jc w:val="both"/>
        <w:rPr/>
      </w:pPr>
      <w:r>
        <w:rPr/>
        <w:t xml:space="preserve">    • </w:t>
      </w:r>
      <w:r>
        <w:rPr/>
        <w:t>Landlord &amp; Vacant Utility Bills (12 Months)</w:t>
      </w:r>
    </w:p>
    <w:p>
      <w:pPr>
        <w:pStyle w:val="Normal"/>
        <w:jc w:val="both"/>
        <w:rPr/>
      </w:pPr>
      <w:r>
        <w:rPr/>
        <w:t xml:space="preserve">    • </w:t>
      </w:r>
      <w:r>
        <w:rPr/>
        <w:t>Personal Property Tax Invoices (Current and Prior (2) years)</w:t>
      </w:r>
    </w:p>
    <w:p>
      <w:pPr>
        <w:pStyle w:val="Normal"/>
        <w:jc w:val="both"/>
        <w:rPr/>
      </w:pPr>
      <w:r>
        <w:rPr/>
        <w:t xml:space="preserve">    • </w:t>
      </w:r>
      <w:r>
        <w:rPr/>
        <w:t>All Existing Environmental Reports or Studies</w:t>
      </w:r>
    </w:p>
    <w:p>
      <w:pPr>
        <w:pStyle w:val="Normal"/>
        <w:jc w:val="both"/>
        <w:rPr/>
      </w:pPr>
      <w:r>
        <w:rPr/>
        <w:t xml:space="preserve">    • </w:t>
      </w:r>
      <w:r>
        <w:rPr/>
        <w:t>Insurance Policy (GL, Property, Flood)</w:t>
      </w:r>
    </w:p>
    <w:p>
      <w:pPr>
        <w:pStyle w:val="Normal"/>
        <w:jc w:val="both"/>
        <w:rPr/>
      </w:pPr>
      <w:r>
        <w:rPr/>
        <w:t xml:space="preserve">    • </w:t>
      </w:r>
      <w:r>
        <w:rPr/>
        <w:t>Insurance Claims Pending</w:t>
      </w:r>
    </w:p>
    <w:p>
      <w:pPr>
        <w:pStyle w:val="Normal"/>
        <w:jc w:val="both"/>
        <w:rPr/>
      </w:pPr>
      <w:r>
        <w:rPr/>
        <w:t xml:space="preserve">    • </w:t>
      </w:r>
      <w:r>
        <w:rPr/>
        <w:t>Claims History</w:t>
      </w:r>
    </w:p>
    <w:p>
      <w:pPr>
        <w:pStyle w:val="Normal"/>
        <w:jc w:val="both"/>
        <w:rPr/>
      </w:pPr>
      <w:r>
        <w:rPr/>
        <w:t xml:space="preserve">    • </w:t>
      </w:r>
      <w:r>
        <w:rPr/>
        <w:t>Existing Appraisals</w:t>
      </w:r>
    </w:p>
    <w:p>
      <w:pPr>
        <w:pStyle w:val="Normal"/>
        <w:jc w:val="both"/>
        <w:rPr/>
      </w:pPr>
      <w:r>
        <w:rPr/>
        <w:t xml:space="preserve">    • </w:t>
      </w:r>
      <w:r>
        <w:rPr/>
        <w:t>Capital Improvements (5 years)</w:t>
      </w:r>
    </w:p>
    <w:p>
      <w:pPr>
        <w:pStyle w:val="Normal"/>
        <w:jc w:val="both"/>
        <w:rPr/>
      </w:pPr>
      <w:r>
        <w:rPr/>
        <w:t xml:space="preserve">    • </w:t>
      </w:r>
      <w:r>
        <w:rPr/>
        <w:t>Warranties in effect at the Property</w:t>
      </w:r>
    </w:p>
    <w:p>
      <w:pPr>
        <w:pStyle w:val="Normal"/>
        <w:jc w:val="both"/>
        <w:rPr/>
      </w:pPr>
      <w:r>
        <w:rPr/>
        <w:t xml:space="preserve">    • </w:t>
      </w:r>
      <w:r>
        <w:rPr/>
        <w:t>Operating &amp; Capital Budget (Current)</w:t>
      </w:r>
    </w:p>
    <w:p>
      <w:pPr>
        <w:pStyle w:val="Normal"/>
        <w:jc w:val="both"/>
        <w:rPr/>
      </w:pPr>
      <w:r>
        <w:rPr/>
        <w:t xml:space="preserve">    • </w:t>
      </w:r>
      <w:r>
        <w:rPr/>
        <w:t>Government Notices</w:t>
      </w:r>
    </w:p>
    <w:p>
      <w:pPr>
        <w:pStyle w:val="Normal"/>
        <w:jc w:val="both"/>
        <w:rPr/>
      </w:pPr>
      <w:r>
        <w:rPr/>
        <w:t xml:space="preserve">    • </w:t>
      </w:r>
      <w:r>
        <w:rPr/>
        <w:t>Reciprocal Easement Agreements or Use Restrictions</w:t>
      </w:r>
    </w:p>
    <w:p>
      <w:pPr>
        <w:pStyle w:val="Normal"/>
        <w:jc w:val="both"/>
        <w:rPr/>
      </w:pPr>
      <w:r>
        <w:rPr/>
        <w:t xml:space="preserve">    • </w:t>
      </w:r>
      <w:r>
        <w:rPr/>
        <w:t>Site/ Building Plans</w:t>
      </w:r>
    </w:p>
    <w:p>
      <w:pPr>
        <w:pStyle w:val="Normal"/>
        <w:jc w:val="both"/>
        <w:rPr/>
      </w:pPr>
      <w:r>
        <w:rPr/>
        <w:t xml:space="preserve">    • </w:t>
      </w:r>
      <w:r>
        <w:rPr/>
        <w:t>Certificates of Occupancy</w:t>
      </w:r>
    </w:p>
    <w:p>
      <w:pPr>
        <w:pStyle w:val="Normal"/>
        <w:jc w:val="both"/>
        <w:rPr/>
      </w:pPr>
      <w:r>
        <w:rPr/>
        <w:t xml:space="preserve">    • </w:t>
      </w:r>
      <w:r>
        <w:rPr/>
        <w:t>Architectural Plans</w:t>
      </w:r>
    </w:p>
    <w:p>
      <w:pPr>
        <w:pStyle w:val="Normal"/>
        <w:jc w:val="both"/>
        <w:rPr/>
      </w:pPr>
      <w:r>
        <w:rPr/>
        <w:t xml:space="preserve">    • </w:t>
      </w:r>
      <w:r>
        <w:rPr/>
        <w:t>Engineering Drawings</w:t>
      </w:r>
    </w:p>
    <w:p>
      <w:pPr>
        <w:pStyle w:val="Normal"/>
        <w:jc w:val="both"/>
        <w:rPr/>
      </w:pPr>
      <w:r>
        <w:rPr/>
        <w:t xml:space="preserve">    • </w:t>
      </w:r>
      <w:r>
        <w:rPr/>
        <w:t>Zoning Information (Variances, Decisions &amp; Approval)</w:t>
      </w:r>
    </w:p>
    <w:p>
      <w:pPr>
        <w:pStyle w:val="Normal"/>
        <w:jc w:val="both"/>
        <w:rPr/>
      </w:pPr>
      <w:r>
        <w:rPr/>
        <w:t xml:space="preserve">    • </w:t>
      </w:r>
      <w:r>
        <w:rPr/>
        <w:t>List of Personal Property</w:t>
      </w:r>
    </w:p>
    <w:p>
      <w:pPr>
        <w:pStyle w:val="Normal"/>
        <w:jc w:val="both"/>
        <w:rPr/>
      </w:pPr>
      <w:r>
        <w:rPr/>
      </w:r>
    </w:p>
    <w:p>
      <w:pPr>
        <w:pStyle w:val="Normal"/>
        <w:jc w:val="both"/>
        <w:rPr/>
      </w:pPr>
      <w:r>
        <w:rPr/>
        <w:t>This LOI summarizes some of the business points relating to the transaction described above, it being understood that other material terms of the proposed transaction are not yet agreed upon and still must be agreed upon to the mutual satisfaction of the parties.  Therefore, it is understood that (i) no liabilities or obligations are intended to be created by this LOI or the consent by the parties hereto other than as set forth in the “Confidentiality,” “Exclusivity” and “Non-solicitation” paragraphs above; (ii) other than the “Confidentiality,” “Exclusivity” and “Non-solicitation” paragraphs above (which are binding agreements, enforceable against the parties), this LOI does not constitute a legally binding agreement to consummate the transaction contemplated hereby or to enter into a legally binding agreement; and (iii) no binding obligation to consummate the transaction contemplated hereby shall be created unless and until a written agreement evidencing such obligation is duly executed and delivered by the parties.</w:t>
      </w:r>
    </w:p>
    <w:p>
      <w:pPr>
        <w:pStyle w:val="Normal"/>
        <w:jc w:val="both"/>
        <w:rPr/>
      </w:pPr>
      <w:r>
        <w:rPr/>
      </w:r>
    </w:p>
    <w:p>
      <w:pPr>
        <w:pStyle w:val="Normal"/>
        <w:jc w:val="both"/>
        <w:rPr/>
      </w:pPr>
      <w:r>
        <w:rPr/>
        <w:t xml:space="preserve">This LOI supersedes and cancels all prior understandings whether written or oral between the parties, if any, and may be executed in two or more counterparts, each of which shall constitute an original, but when taken together all such counterparts shall constitute but one letter, and either party may execute this LOI by executing any one or more of such counterparts. </w:t>
      </w:r>
    </w:p>
    <w:p>
      <w:pPr>
        <w:pStyle w:val="Normal"/>
        <w:jc w:val="both"/>
        <w:rPr/>
      </w:pPr>
      <w:r>
        <w:rPr/>
        <w:t>This LOI shall be valid only if executed by Seller within five (5) business days from the date hereof.</w:t>
      </w:r>
    </w:p>
    <w:p>
      <w:pPr>
        <w:pStyle w:val="Normal"/>
        <w:jc w:val="both"/>
        <w:rPr/>
      </w:pPr>
      <w:r>
        <w:rPr/>
      </w:r>
    </w:p>
    <w:p>
      <w:pPr>
        <w:pStyle w:val="Normal"/>
        <w:jc w:val="both"/>
        <w:rPr/>
      </w:pPr>
      <w:r>
        <w:rPr/>
      </w:r>
    </w:p>
    <w:p>
      <w:pPr>
        <w:pStyle w:val="Normal"/>
        <w:jc w:val="both"/>
        <w:rPr/>
      </w:pPr>
      <w:r>
        <w:rPr/>
      </w:r>
    </w:p>
    <w:p>
      <w:pPr>
        <w:pStyle w:val="Normal"/>
        <w:jc w:val="both"/>
        <w:rPr>
          <w:lang w:eastAsia="ja-JP"/>
        </w:rPr>
      </w:pPr>
      <w:r>
        <w:rPr/>
        <w:t xml:space="preserve">The above represents the general terms and conditions of the proposed transaction.  The exact terms and conditions will be contained in a mutually acceptable Purchase Agreement.  </w:t>
      </w:r>
    </w:p>
    <w:p>
      <w:pPr>
        <w:pStyle w:val="Normal"/>
        <w:jc w:val="both"/>
        <w:rPr>
          <w:lang w:eastAsia="ja-JP"/>
        </w:rPr>
      </w:pPr>
      <w:r>
        <w:rPr>
          <w:lang w:eastAsia="ja-JP"/>
        </w:rPr>
      </w:r>
    </w:p>
    <w:p>
      <w:pPr>
        <w:pStyle w:val="Normal"/>
        <w:jc w:val="both"/>
        <w:rPr>
          <w:spacing w:val="-3"/>
        </w:rPr>
      </w:pPr>
      <w:r>
        <w:rPr/>
        <w:t xml:space="preserve">Should the above proposal be acceptable to you, please execute your signature below and </w:t>
      </w:r>
      <w:r>
        <w:rPr>
          <w:spacing w:val="-3"/>
          <w:lang w:eastAsia="ja-JP"/>
        </w:rPr>
        <w:t>I</w:t>
      </w:r>
      <w:r>
        <w:rPr>
          <w:spacing w:val="-3"/>
        </w:rPr>
        <w:t xml:space="preserve"> will begin preparation of the Purchase Agreement.  Thank you for your consideration and we look forward to the opportunity to work with you on this transaction.  </w:t>
      </w:r>
    </w:p>
    <w:p>
      <w:pPr>
        <w:pStyle w:val="Normal"/>
        <w:jc w:val="both"/>
        <w:rPr/>
      </w:pPr>
      <w:r>
        <w:rPr/>
      </w:r>
    </w:p>
    <w:p>
      <w:pPr>
        <w:pStyle w:val="Normal"/>
        <w:jc w:val="both"/>
        <w:rPr>
          <w:lang w:eastAsia="ja-JP"/>
        </w:rPr>
      </w:pPr>
      <w:r>
        <w:rPr>
          <w:lang w:eastAsia="ja-JP"/>
        </w:rPr>
        <w:t xml:space="preserve">This Letter of Intent is null and void if not signed and delivered to Buyer at </w:t>
      </w:r>
      <w:hyperlink r:id="rId2">
        <w:r>
          <w:rPr>
            <w:rStyle w:val="Hyperlink"/>
            <w:lang w:eastAsia="ja-JP"/>
          </w:rPr>
          <w:t>melvin@sofiesentrepreneurialgroup.com</w:t>
        </w:r>
      </w:hyperlink>
      <w:r>
        <w:rPr>
          <w:lang w:eastAsia="ja-JP"/>
        </w:rPr>
        <w:t xml:space="preserve"> by 5:00 PM on Saturday </w:t>
      </w:r>
      <w:r>
        <w:rPr>
          <w:lang w:eastAsia="ja-JP"/>
        </w:rPr>
        <w:t>September 7th</w:t>
      </w:r>
      <w:r>
        <w:rPr>
          <w:lang w:eastAsia="ja-JP"/>
        </w:rPr>
        <w:t>, 2024.</w:t>
      </w:r>
    </w:p>
    <w:p>
      <w:pPr>
        <w:pStyle w:val="Normal"/>
        <w:jc w:val="both"/>
        <w:rPr>
          <w:lang w:eastAsia="ja-JP"/>
        </w:rPr>
      </w:pPr>
      <w:r>
        <w:rPr>
          <w:lang w:eastAsia="ja-JP"/>
        </w:rPr>
      </w:r>
    </w:p>
    <w:p>
      <w:pPr>
        <w:pStyle w:val="Normal"/>
        <w:jc w:val="both"/>
        <w:rPr/>
      </w:pPr>
      <w:r>
        <w:rPr/>
        <w:t>Please contact me with any questions.</w:t>
      </w:r>
    </w:p>
    <w:p>
      <w:pPr>
        <w:pStyle w:val="Normal"/>
        <w:jc w:val="both"/>
        <w:rPr>
          <w:lang w:eastAsia="ja-JP"/>
        </w:rPr>
      </w:pPr>
      <w:r>
        <w:rPr>
          <w:lang w:eastAsia="ja-JP"/>
        </w:rPr>
      </w:r>
    </w:p>
    <w:p>
      <w:pPr>
        <w:pStyle w:val="Normal"/>
        <w:jc w:val="both"/>
        <w:rPr>
          <w:b/>
          <w:spacing w:val="-3"/>
        </w:rPr>
      </w:pPr>
      <w:r>
        <w:rPr>
          <w:b/>
        </w:rPr>
        <w:t xml:space="preserve">BY:   </w:t>
      </w:r>
      <w:r>
        <w:rPr>
          <w:b/>
          <w:spacing w:val="-3"/>
        </w:rPr>
        <w:t>EMAIL, PHONE, OR FAX</w:t>
      </w:r>
    </w:p>
    <w:p>
      <w:pPr>
        <w:pStyle w:val="Normal"/>
        <w:jc w:val="both"/>
        <w:rPr>
          <w:b/>
          <w:lang w:eastAsia="ja-JP"/>
        </w:rPr>
      </w:pPr>
      <w:r>
        <w:rPr>
          <w:b/>
          <w:lang w:eastAsia="ja-JP"/>
        </w:rPr>
      </w:r>
    </w:p>
    <w:p>
      <w:pPr>
        <w:pStyle w:val="Normal"/>
        <w:jc w:val="both"/>
        <w:rPr>
          <w:lang w:eastAsia="ja-JP"/>
        </w:rPr>
      </w:pPr>
      <w:r>
        <w:rPr>
          <w:lang w:eastAsia="ja-JP"/>
        </w:rPr>
        <w:t>Sofie’s Investment Group LLC</w:t>
      </w:r>
    </w:p>
    <w:p>
      <w:pPr>
        <w:pStyle w:val="Normal"/>
        <w:jc w:val="both"/>
        <w:rPr>
          <w:lang w:eastAsia="ja-JP"/>
        </w:rPr>
      </w:pPr>
      <w:r>
        <w:rPr>
          <w:lang w:eastAsia="ja-JP"/>
        </w:rPr>
      </w:r>
    </w:p>
    <w:p>
      <w:pPr>
        <w:pStyle w:val="Normal"/>
        <w:jc w:val="both"/>
        <w:rPr>
          <w:lang w:eastAsia="ja-JP"/>
        </w:rPr>
      </w:pPr>
      <w:r>
        <w:rPr>
          <w:lang w:eastAsia="ja-JP"/>
        </w:rPr>
      </w:r>
    </w:p>
    <w:p>
      <w:pPr>
        <w:pStyle w:val="Normal"/>
        <w:jc w:val="both"/>
        <w:rPr>
          <w:lang w:eastAsia="ja-JP"/>
        </w:rPr>
      </w:pPr>
      <w:r>
        <w:rPr>
          <w:lang w:eastAsia="ja-JP"/>
        </w:rPr>
      </w:r>
    </w:p>
    <w:p>
      <w:pPr>
        <w:pStyle w:val="Normal"/>
        <w:jc w:val="both"/>
        <w:rPr/>
      </w:pPr>
      <w:r>
        <w:rPr/>
        <w:t>SIGNED BY:</w:t>
        <w:tab/>
        <w:t>___________________________</w:t>
      </w:r>
    </w:p>
    <w:p>
      <w:pPr>
        <w:pStyle w:val="Normal"/>
        <w:jc w:val="both"/>
        <w:rPr>
          <w:lang w:eastAsia="ja-JP"/>
        </w:rPr>
      </w:pPr>
      <w:r>
        <w:rPr/>
        <w:t xml:space="preserve">NAME:  </w:t>
        <w:tab/>
      </w:r>
      <w:r>
        <w:rPr>
          <w:lang w:eastAsia="ja-JP"/>
        </w:rPr>
        <w:t>Melvin  Lamont Evans</w:t>
      </w:r>
    </w:p>
    <w:p>
      <w:pPr>
        <w:pStyle w:val="Normal"/>
        <w:jc w:val="both"/>
        <w:rPr>
          <w:lang w:eastAsia="ja-JP"/>
        </w:rPr>
      </w:pPr>
      <w:r>
        <w:rPr/>
        <w:t xml:space="preserve">TITLE:   </w:t>
        <w:tab/>
      </w:r>
      <w:r>
        <w:rPr>
          <w:lang w:eastAsia="ja-JP"/>
        </w:rPr>
        <w:t>SPC</w:t>
      </w:r>
    </w:p>
    <w:p>
      <w:pPr>
        <w:pStyle w:val="Normal"/>
        <w:jc w:val="both"/>
        <w:rPr/>
      </w:pPr>
      <w:r>
        <w:rPr/>
      </w:r>
    </w:p>
    <w:p>
      <w:pPr>
        <w:pStyle w:val="Normal"/>
        <w:jc w:val="both"/>
        <w:rPr/>
      </w:pPr>
      <w:r>
        <w:rPr/>
      </w:r>
    </w:p>
    <w:p>
      <w:pPr>
        <w:pStyle w:val="Normal"/>
        <w:jc w:val="both"/>
        <w:rPr>
          <w:b/>
        </w:rPr>
      </w:pPr>
      <w:r>
        <w:rPr>
          <w:b/>
        </w:rPr>
        <w:t>ACKNOWLEDGED AND AGREED TO THIS LETTER OF INTENT</w:t>
      </w:r>
      <w:r>
        <w:rPr/>
        <w:t xml:space="preserve"> </w:t>
      </w:r>
      <w:r>
        <w:rPr>
          <w:b/>
        </w:rPr>
        <w:t xml:space="preserve">DAY OF August </w:t>
      </w:r>
      <w:r>
        <w:rPr>
          <w:b/>
        </w:rPr>
        <w:t>31</w:t>
      </w:r>
      <w:r>
        <w:rPr>
          <w:b/>
        </w:rPr>
        <w:t>, 2024.</w:t>
      </w:r>
    </w:p>
    <w:p>
      <w:pPr>
        <w:pStyle w:val="Normal"/>
        <w:jc w:val="both"/>
        <w:rPr>
          <w:b/>
        </w:rPr>
      </w:pPr>
      <w:r>
        <w:rPr>
          <w:b/>
        </w:rPr>
      </w:r>
    </w:p>
    <w:p>
      <w:pPr>
        <w:pStyle w:val="Normal"/>
        <w:jc w:val="both"/>
        <w:rPr>
          <w:b/>
        </w:rPr>
      </w:pPr>
      <w:r>
        <w:rPr>
          <w:b/>
        </w:rPr>
        <w:t>SELLER:</w:t>
      </w:r>
    </w:p>
    <w:p>
      <w:pPr>
        <w:pStyle w:val="Normal"/>
        <w:jc w:val="both"/>
        <w:rPr/>
      </w:pPr>
      <w:r>
        <w:rPr/>
      </w:r>
    </w:p>
    <w:p>
      <w:pPr>
        <w:pStyle w:val="Normal"/>
        <w:jc w:val="both"/>
        <w:rPr>
          <w:u w:val="single"/>
          <w:lang w:eastAsia="ja-JP"/>
        </w:rPr>
      </w:pPr>
      <w:r>
        <w:rPr/>
        <w:t>BY:</w:t>
        <w:tab/>
        <w:t>_________________________________</w:t>
      </w:r>
      <w:r>
        <w:rPr>
          <w:u w:val="single"/>
        </w:rPr>
        <w:t xml:space="preserve"> </w:t>
      </w:r>
    </w:p>
    <w:p>
      <w:pPr>
        <w:pStyle w:val="Normal"/>
        <w:jc w:val="both"/>
        <w:rPr>
          <w:u w:val="single"/>
          <w:lang w:eastAsia="ja-JP"/>
        </w:rPr>
      </w:pPr>
      <w:r>
        <w:rPr>
          <w:u w:val="single"/>
          <w:lang w:eastAsia="ja-JP"/>
        </w:rPr>
      </w:r>
    </w:p>
    <w:p>
      <w:pPr>
        <w:pStyle w:val="Normal"/>
        <w:jc w:val="both"/>
        <w:rPr>
          <w:lang w:eastAsia="ja-JP"/>
        </w:rPr>
      </w:pPr>
      <w:r>
        <w:rPr/>
        <w:t>NAME:</w:t>
        <w:tab/>
        <w:t>_________________________________</w:t>
      </w:r>
    </w:p>
    <w:p>
      <w:pPr>
        <w:pStyle w:val="Normal"/>
        <w:jc w:val="both"/>
        <w:rPr>
          <w:lang w:eastAsia="ja-JP"/>
        </w:rPr>
      </w:pPr>
      <w:r>
        <w:rPr>
          <w:lang w:eastAsia="ja-JP"/>
        </w:rPr>
      </w:r>
    </w:p>
    <w:p>
      <w:pPr>
        <w:pStyle w:val="Normal"/>
        <w:jc w:val="both"/>
        <w:rPr/>
      </w:pPr>
      <w:r>
        <w:rPr/>
        <w:t>TITLE:</w:t>
        <w:tab/>
        <w:t>_________________________________</w:t>
      </w:r>
    </w:p>
    <w:sectPr>
      <w:type w:val="nextPage"/>
      <w:pgSz w:w="12240" w:h="15840"/>
      <w:pgMar w:left="1008" w:right="1008"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1440"/>
        </w:tabs>
        <w:ind w:left="1440" w:hanging="72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val="bestFit"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320a5"/>
    <w:pPr>
      <w:widowControl/>
      <w:suppressAutoHyphens w:val="true"/>
      <w:bidi w:val="0"/>
      <w:spacing w:lineRule="auto" w:line="240" w:before="0" w:after="0"/>
      <w:jc w:val="left"/>
    </w:pPr>
    <w:rPr>
      <w:rFonts w:ascii="Times New Roman" w:hAnsi="Times New Roman" w:eastAsia="MS Mincho" w:cs="Times New Roman"/>
      <w:color w:val="auto"/>
      <w:kern w:val="0"/>
      <w:sz w:val="20"/>
      <w:szCs w:val="20"/>
      <w:lang w:val="en-US" w:eastAsia="en-US" w:bidi="ar-SA"/>
    </w:rPr>
  </w:style>
  <w:style w:type="paragraph" w:styleId="Heading1">
    <w:name w:val="Heading 1"/>
    <w:basedOn w:val="Normal"/>
    <w:next w:val="Normal"/>
    <w:link w:val="Heading1Char"/>
    <w:qFormat/>
    <w:rsid w:val="008320a5"/>
    <w:pPr>
      <w:keepNext w:val="true"/>
      <w:widowControl w:val="false"/>
      <w:jc w:val="both"/>
      <w:outlineLvl w:val="0"/>
    </w:pPr>
    <w:rPr>
      <w:b/>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8320a5"/>
    <w:rPr>
      <w:rFonts w:ascii="Times New Roman" w:hAnsi="Times New Roman" w:eastAsia="MS Mincho" w:cs="Times New Roman"/>
      <w:b/>
      <w:sz w:val="20"/>
      <w:szCs w:val="20"/>
    </w:rPr>
  </w:style>
  <w:style w:type="character" w:styleId="Hyperlink">
    <w:name w:val="Hyperlink"/>
    <w:rsid w:val="00322316"/>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8320a5"/>
    <w:pPr>
      <w:spacing w:before="0" w:after="0"/>
      <w:ind w:left="720"/>
      <w:contextualSpacing/>
    </w:pPr>
    <w:rPr/>
  </w:style>
  <w:style w:type="paragraph" w:styleId="normal1">
    <w:name w:val="normal1"/>
    <w:qFormat/>
    <w:pPr>
      <w:widowControl/>
      <w:suppressAutoHyphens w:val="true"/>
      <w:bidi w:val="0"/>
      <w:spacing w:lineRule="auto" w:line="276" w:before="0" w:after="0"/>
      <w:jc w:val="left"/>
    </w:pPr>
    <w:rPr>
      <w:rFonts w:ascii="Times New Roman" w:hAnsi="Times New Roman" w:eastAsia="NSimSun" w:cs="Lucida Sans"/>
      <w:color w:val="auto"/>
      <w:kern w:val="0"/>
      <w:sz w:val="24"/>
      <w:szCs w:val="24"/>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lvin@sofiesentrepreneurialgroup.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LibreOffice/24.2.5.2$Windows_X86_64 LibreOffice_project/bffef4ea93e59bebbeaf7f431bb02b1a39ee8a59</Application>
  <AppVersion>15.0000</AppVersion>
  <Pages>4</Pages>
  <Words>1324</Words>
  <Characters>7179</Characters>
  <CharactersWithSpaces>8790</CharactersWithSpaces>
  <Paragraphs>96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2017-08-04T17:28:00Z</dcterms:created>
  <dc:creator/>
  <dc:description/>
  <dc:language>en-US</dc:language>
  <cp:lastModifiedBy/>
  <cp:lastPrinted>2014-03-18T17:07:00Z</cp:lastPrinted>
  <dcterms:modified xsi:type="dcterms:W3CDTF">2024-08-31T13:19:06Z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