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0EC402F7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0158A3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D7AE5EE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F76322">
              <w:rPr>
                <w:rFonts w:hint="eastAsia"/>
              </w:rPr>
              <w:t>2</w:t>
            </w:r>
            <w:r w:rsidR="000158A3">
              <w:rPr>
                <w:rFonts w:hint="eastAsia"/>
              </w:rPr>
              <w:t>9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0158A3">
              <w:rPr>
                <w:rFonts w:hint="eastAsia"/>
              </w:rPr>
              <w:t>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74973CD1" w:rsidR="00A74B66" w:rsidRPr="00F76322" w:rsidRDefault="00A74B66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A74B66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Port Forwarding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방식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</w:t>
            </w:r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-&gt; Steam SDK 활용 Steam OSS </w:t>
            </w:r>
            <w:proofErr w:type="spellStart"/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구축 작업 진행 중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6EE66520" w14:textId="17C26CDF" w:rsidR="006752BD" w:rsidRDefault="006752BD" w:rsidP="00517C9F">
      <w:r>
        <w:rPr>
          <w:rFonts w:hint="eastAsia"/>
        </w:rPr>
        <w:t xml:space="preserve"> 노트북 2대로 스팀 OSS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환경을 테스트하는 중 세션을 만들고 검색하는 것은 됩니다만 다른 클라이언트가 세션에 연결하는 과정에서 패킷 손실이 발생하고 있었습니다.</w:t>
      </w:r>
    </w:p>
    <w:p w14:paraId="71E94BD5" w14:textId="77777777" w:rsidR="00084B24" w:rsidRDefault="006752BD" w:rsidP="00517C9F">
      <w:r>
        <w:rPr>
          <w:rFonts w:hint="eastAsia"/>
        </w:rPr>
        <w:t xml:space="preserve"> 작년 여름에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강의를 공부하면서 만든 스팀 OSS 프로젝트에서는 정상적으로 클라이언트 간 세션 연결이 가능합니다. 현재 졸작 프로젝트 환경에서는 빠른 멀티플레이 환경을 구축하기 위해 강의 내용의 스크립트를 사용하는 플러그인을 활용했습니다. </w:t>
      </w:r>
    </w:p>
    <w:p w14:paraId="1754F5BF" w14:textId="31645A4F" w:rsidR="00084B24" w:rsidRDefault="006752BD" w:rsidP="00517C9F">
      <w:r>
        <w:rPr>
          <w:rFonts w:hint="eastAsia"/>
        </w:rPr>
        <w:t xml:space="preserve">해당 플러그인의 문제가 있는 건가 살펴보기 위해 새롭게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프로젝트에 플러그인을 넣어 </w:t>
      </w:r>
      <w:proofErr w:type="spellStart"/>
      <w:r>
        <w:rPr>
          <w:rFonts w:hint="eastAsia"/>
        </w:rPr>
        <w:t>패키징한</w:t>
      </w:r>
      <w:proofErr w:type="spellEnd"/>
      <w:r>
        <w:rPr>
          <w:rFonts w:hint="eastAsia"/>
        </w:rPr>
        <w:t xml:space="preserve"> 후 테스트를 하니 작동하지 않은 것을 확인했습니다. 즉, 플러그인 내 스크립트에 문제가 있었던 것 같습니다. 정확하게는 </w:t>
      </w:r>
      <w:r w:rsidR="00084B24">
        <w:rPr>
          <w:rFonts w:hint="eastAsia"/>
        </w:rPr>
        <w:t>프로젝트 버전에 따른 차이가 있었던 것입니다.</w:t>
      </w:r>
      <w:r>
        <w:rPr>
          <w:rFonts w:hint="eastAsia"/>
        </w:rPr>
        <w:t xml:space="preserve"> </w:t>
      </w:r>
    </w:p>
    <w:p w14:paraId="5CD50F38" w14:textId="0F9F0C15" w:rsidR="008A3DFF" w:rsidRDefault="00084B24" w:rsidP="00517C9F">
      <w:r>
        <w:rPr>
          <w:rFonts w:hint="eastAsia"/>
        </w:rPr>
        <w:t xml:space="preserve">그렇게 해당 플러그인 대신 성공적으로 동작하는 스팀 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프로젝트를 참고하여 다시 프로젝트를 빌드하는 중에 있습니다. 작년 여름에 공부하면서 만든 프로젝트는 </w:t>
      </w:r>
      <w:proofErr w:type="spellStart"/>
      <w:proofErr w:type="gramStart"/>
      <w:r w:rsidR="008A3DFF">
        <w:rPr>
          <w:rFonts w:hint="eastAsia"/>
        </w:rPr>
        <w:t>G</w:t>
      </w:r>
      <w:r>
        <w:rPr>
          <w:rFonts w:hint="eastAsia"/>
        </w:rPr>
        <w:t>ame</w:t>
      </w:r>
      <w:r w:rsidR="008A3DFF">
        <w:rPr>
          <w:rFonts w:hint="eastAsia"/>
        </w:rPr>
        <w:t>I</w:t>
      </w:r>
      <w:r>
        <w:rPr>
          <w:rFonts w:hint="eastAsia"/>
        </w:rPr>
        <w:t>nstance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 w:rsidR="008A3DFF">
        <w:rPr>
          <w:rFonts w:hint="eastAsia"/>
        </w:rPr>
        <w:t xml:space="preserve">관련 </w:t>
      </w:r>
      <w:r>
        <w:rPr>
          <w:rFonts w:hint="eastAsia"/>
        </w:rPr>
        <w:t>메뉴 시스템</w:t>
      </w:r>
      <w:r w:rsidR="008A3DFF">
        <w:rPr>
          <w:rFonts w:hint="eastAsia"/>
        </w:rPr>
        <w:t>이 사용하는</w:t>
      </w:r>
      <w:r>
        <w:rPr>
          <w:rFonts w:hint="eastAsia"/>
        </w:rPr>
        <w:t xml:space="preserve"> 인터페이</w:t>
      </w:r>
      <w:r w:rsidR="008A3DFF">
        <w:rPr>
          <w:rFonts w:hint="eastAsia"/>
        </w:rPr>
        <w:t>스를 상속하고 있는 구조이며, 기존에 사용하던 플러그인 내 스크립트는 Game Instance를 사용하지 않습니다. 그러한 종속성이 없기 때문에 현재는 스팀 OSS 프로젝트를 참고해 Game Instance에서 인터페이스를 상속하고 사용하는 구조로 졸작 프로젝트를 고치는 중입니다.</w:t>
      </w:r>
    </w:p>
    <w:p w14:paraId="641E2468" w14:textId="7818C31A" w:rsidR="0081481A" w:rsidRDefault="0081481A" w:rsidP="00517C9F">
      <w:pPr>
        <w:rPr>
          <w:rFonts w:hint="eastAsia"/>
        </w:rPr>
      </w:pPr>
      <w:r>
        <w:rPr>
          <w:rFonts w:hint="eastAsia"/>
        </w:rPr>
        <w:t xml:space="preserve">별도의 프로젝트 하나 만들어서 가설을 토대로 테스트를 하고, 현재 졸작 프로젝트는 </w:t>
      </w:r>
      <w:proofErr w:type="spellStart"/>
      <w:r>
        <w:rPr>
          <w:rFonts w:hint="eastAsia"/>
        </w:rPr>
        <w:t>GameInstance</w:t>
      </w:r>
      <w:proofErr w:type="spellEnd"/>
      <w:r>
        <w:rPr>
          <w:rFonts w:hint="eastAsia"/>
        </w:rPr>
        <w:t xml:space="preserve">를 사용하고 인터페이스로 활용하도록 스크립트를 추가하며 오류를 최소하기 위해 주기적으로 빌드하다 보니 몰아서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하게 될 것 같습니다.</w:t>
      </w:r>
    </w:p>
    <w:p w14:paraId="7E43513A" w14:textId="0761B865" w:rsidR="008A3DFF" w:rsidRDefault="0081481A" w:rsidP="00517C9F">
      <w:r>
        <w:rPr>
          <w:rFonts w:hint="eastAsia"/>
        </w:rPr>
        <w:t xml:space="preserve">또한 이번 작업을 통해 잠시동안 잊고 있던 </w:t>
      </w:r>
      <w:r w:rsidR="008A3DFF">
        <w:rPr>
          <w:rFonts w:hint="eastAsia"/>
        </w:rPr>
        <w:t>Game Instanc</w:t>
      </w:r>
      <w:r>
        <w:rPr>
          <w:rFonts w:hint="eastAsia"/>
        </w:rPr>
        <w:t>e를 떠올릴 수 있었습니다.</w:t>
      </w:r>
      <w:r w:rsidR="008A3DFF">
        <w:rPr>
          <w:rFonts w:hint="eastAsia"/>
        </w:rPr>
        <w:t xml:space="preserve"> 이를 </w:t>
      </w:r>
      <w:r w:rsidR="00F124C2">
        <w:rPr>
          <w:rFonts w:hint="eastAsia"/>
        </w:rPr>
        <w:t xml:space="preserve">잘 사용한다면 서버에서 만든 </w:t>
      </w:r>
      <w:proofErr w:type="spellStart"/>
      <w:r w:rsidR="00F124C2">
        <w:rPr>
          <w:rFonts w:hint="eastAsia"/>
        </w:rPr>
        <w:t>렌더타겟을</w:t>
      </w:r>
      <w:proofErr w:type="spellEnd"/>
      <w:r w:rsidR="00F124C2">
        <w:rPr>
          <w:rFonts w:hint="eastAsia"/>
        </w:rPr>
        <w:t xml:space="preserve"> 클라이언트로 동일하게 멀티캐스트</w:t>
      </w:r>
      <w:r w:rsidR="000158A3">
        <w:rPr>
          <w:rFonts w:hint="eastAsia"/>
        </w:rPr>
        <w:t xml:space="preserve">를 </w:t>
      </w:r>
      <w:r w:rsidR="00F124C2">
        <w:rPr>
          <w:rFonts w:hint="eastAsia"/>
        </w:rPr>
        <w:t xml:space="preserve">하여 </w:t>
      </w:r>
      <w:proofErr w:type="spellStart"/>
      <w:r w:rsidR="000158A3">
        <w:rPr>
          <w:rFonts w:hint="eastAsia"/>
        </w:rPr>
        <w:t>렌더타겟</w:t>
      </w:r>
      <w:proofErr w:type="spellEnd"/>
      <w:r w:rsidR="000158A3">
        <w:rPr>
          <w:rFonts w:hint="eastAsia"/>
        </w:rPr>
        <w:t xml:space="preserve"> </w:t>
      </w:r>
      <w:r w:rsidR="00F124C2">
        <w:rPr>
          <w:rFonts w:hint="eastAsia"/>
        </w:rPr>
        <w:t>동기화</w:t>
      </w:r>
      <w:r w:rsidR="000158A3">
        <w:rPr>
          <w:rFonts w:hint="eastAsia"/>
        </w:rPr>
        <w:t xml:space="preserve"> 문제를 해결할 수 있을 것 같습니다.</w:t>
      </w:r>
      <w:r w:rsidR="00F124C2">
        <w:rPr>
          <w:rFonts w:hint="eastAsia"/>
        </w:rPr>
        <w:t xml:space="preserve"> </w:t>
      </w:r>
    </w:p>
    <w:p w14:paraId="2D6832C8" w14:textId="134C4943" w:rsidR="00A633D7" w:rsidRPr="007C59EA" w:rsidRDefault="00000000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  <w:rPr>
                <w:rFonts w:hint="eastAsia"/>
              </w:rPr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7F44E89B" w:rsidR="00C75E11" w:rsidRDefault="000158A3">
            <w:pPr>
              <w:spacing w:line="240" w:lineRule="auto"/>
            </w:pPr>
            <w:r>
              <w:rPr>
                <w:rFonts w:hint="eastAsia"/>
              </w:rPr>
              <w:t>50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5A3FB8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0158A3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0158A3">
              <w:rPr>
                <w:rFonts w:hint="eastAsia"/>
              </w:rPr>
              <w:t>05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F7632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0158A3">
              <w:rPr>
                <w:rFonts w:hint="eastAsia"/>
              </w:rPr>
              <w:t>11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5D4" w14:textId="77777777" w:rsidR="003401EA" w:rsidRDefault="00AD3337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패키징 시 발생하는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페인팅 동기화 문제 해결</w:t>
            </w:r>
          </w:p>
          <w:p w14:paraId="6398B6FE" w14:textId="77777777" w:rsidR="00F41F7E" w:rsidRDefault="00F41F7E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UI 작업</w:t>
            </w:r>
          </w:p>
          <w:p w14:paraId="246CCA90" w14:textId="77777777" w:rsidR="000158A3" w:rsidRDefault="000158A3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헌터를 먹을 크기로 성장하면 추가되는 극적 연출</w:t>
            </w:r>
          </w:p>
          <w:p w14:paraId="3BD60F87" w14:textId="77777777" w:rsidR="000158A3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맵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라이팅이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빨간색으로 점멸</w:t>
            </w:r>
          </w:p>
          <w:p w14:paraId="18197573" w14:textId="2D887AA3" w:rsidR="000158A3" w:rsidRPr="00F41F7E" w:rsidRDefault="000158A3" w:rsidP="000158A3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안개 효과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3BAAA" w14:textId="77777777" w:rsidR="0012200E" w:rsidRDefault="0012200E" w:rsidP="00F73AA9">
      <w:pPr>
        <w:spacing w:after="0" w:line="240" w:lineRule="auto"/>
      </w:pPr>
      <w:r>
        <w:separator/>
      </w:r>
    </w:p>
  </w:endnote>
  <w:endnote w:type="continuationSeparator" w:id="0">
    <w:p w14:paraId="389247BE" w14:textId="77777777" w:rsidR="0012200E" w:rsidRDefault="0012200E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4884F" w14:textId="77777777" w:rsidR="0012200E" w:rsidRDefault="0012200E" w:rsidP="00F73AA9">
      <w:pPr>
        <w:spacing w:after="0" w:line="240" w:lineRule="auto"/>
      </w:pPr>
      <w:r>
        <w:separator/>
      </w:r>
    </w:p>
  </w:footnote>
  <w:footnote w:type="continuationSeparator" w:id="0">
    <w:p w14:paraId="701F68BB" w14:textId="77777777" w:rsidR="0012200E" w:rsidRDefault="0012200E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AC1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B5005"/>
    <w:rsid w:val="002B5B31"/>
    <w:rsid w:val="002B61AB"/>
    <w:rsid w:val="002B7B15"/>
    <w:rsid w:val="002C5846"/>
    <w:rsid w:val="002C7AD3"/>
    <w:rsid w:val="002D01DB"/>
    <w:rsid w:val="002D2E7A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74EF7"/>
    <w:rsid w:val="00382A25"/>
    <w:rsid w:val="0039121E"/>
    <w:rsid w:val="00392185"/>
    <w:rsid w:val="00394117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CD8"/>
    <w:rsid w:val="0057544E"/>
    <w:rsid w:val="00583FB4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4778"/>
    <w:rsid w:val="00737C54"/>
    <w:rsid w:val="00747503"/>
    <w:rsid w:val="007527A4"/>
    <w:rsid w:val="00761939"/>
    <w:rsid w:val="00763D7D"/>
    <w:rsid w:val="00764FEE"/>
    <w:rsid w:val="00773D40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B036AA"/>
    <w:rsid w:val="00B03E12"/>
    <w:rsid w:val="00B05E6D"/>
    <w:rsid w:val="00B1375B"/>
    <w:rsid w:val="00B16405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21</cp:revision>
  <dcterms:created xsi:type="dcterms:W3CDTF">2024-04-16T16:39:00Z</dcterms:created>
  <dcterms:modified xsi:type="dcterms:W3CDTF">2024-06-04T18:42:00Z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