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1A51E">
      <w:pPr>
        <w:rPr>
          <w:rFonts w:hint="default"/>
          <w:lang w:val="en-US"/>
        </w:rPr>
      </w:pPr>
      <w:r>
        <w:rPr>
          <w:b/>
          <w:bCs/>
        </w:rPr>
        <w:t xml:space="preserve">Figure-1.5. </w:t>
      </w:r>
      <w:r>
        <w:t>Simulation results</w:t>
      </w:r>
    </w:p>
    <w:p w14:paraId="211E94AC">
      <w:pPr>
        <w:rPr>
          <w:rFonts w:hint="default"/>
          <w:lang w:val="en-US"/>
        </w:rPr>
      </w:pPr>
    </w:p>
    <w:p w14:paraId="6E707EC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790825"/>
            <wp:effectExtent l="0" t="0" r="3175" b="9525"/>
            <wp:docPr id="3" name="Picture 3" descr="Not_gate inverter_test_Grap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Not_gate inverter_test_Graph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1026">
      <w:pPr>
        <w:rPr>
          <w:rFonts w:hint="default"/>
          <w:lang w:val="en-US"/>
        </w:rPr>
      </w:pPr>
    </w:p>
    <w:p w14:paraId="706FB6EA">
      <w:pPr>
        <w:rPr>
          <w:rFonts w:hint="default"/>
          <w:lang w:val="en-US"/>
        </w:rPr>
      </w:pPr>
    </w:p>
    <w:p w14:paraId="7BDC13EF">
      <w:pPr>
        <w:rPr>
          <w:rFonts w:hint="default"/>
          <w:lang w:val="en-US"/>
        </w:rPr>
      </w:pPr>
    </w:p>
    <w:p w14:paraId="4C428558">
      <w:pPr>
        <w:rPr>
          <w:rFonts w:hint="default"/>
          <w:lang w:val="en-US"/>
        </w:rPr>
      </w:pPr>
    </w:p>
    <w:p w14:paraId="4BE32818">
      <w:pPr>
        <w:rPr>
          <w:rFonts w:hint="default"/>
          <w:lang w:val="en-US"/>
        </w:rPr>
      </w:pPr>
    </w:p>
    <w:p w14:paraId="34C3A9B2">
      <w:pPr>
        <w:rPr>
          <w:rFonts w:hint="default"/>
          <w:lang w:val="en-US"/>
        </w:rPr>
      </w:pPr>
    </w:p>
    <w:p w14:paraId="032969AD">
      <w:pPr>
        <w:rPr>
          <w:rFonts w:hint="default"/>
          <w:lang w:val="en-US"/>
        </w:rPr>
      </w:pPr>
    </w:p>
    <w:p w14:paraId="084A9663">
      <w:pPr>
        <w:rPr>
          <w:rFonts w:hint="default"/>
          <w:lang w:val="en-US"/>
        </w:rPr>
      </w:pPr>
    </w:p>
    <w:p w14:paraId="1DA4F5B6">
      <w:pPr>
        <w:rPr>
          <w:rFonts w:hint="default"/>
          <w:lang w:val="en-US"/>
        </w:rPr>
      </w:pPr>
    </w:p>
    <w:p w14:paraId="2CB5DDCC">
      <w:pPr>
        <w:rPr>
          <w:rFonts w:hint="default"/>
          <w:lang w:val="en-US"/>
        </w:rPr>
      </w:pPr>
    </w:p>
    <w:p w14:paraId="10D3673A">
      <w:pPr>
        <w:rPr>
          <w:rFonts w:hint="default"/>
          <w:lang w:val="en-US"/>
        </w:rPr>
      </w:pPr>
    </w:p>
    <w:p w14:paraId="19581C15">
      <w:pPr>
        <w:rPr>
          <w:rFonts w:hint="default"/>
          <w:lang w:val="en-US"/>
        </w:rPr>
      </w:pPr>
    </w:p>
    <w:p w14:paraId="349AF99D">
      <w:pPr>
        <w:rPr>
          <w:rFonts w:hint="default"/>
          <w:lang w:val="en-US"/>
        </w:rPr>
      </w:pPr>
    </w:p>
    <w:p w14:paraId="53D580F7">
      <w:pPr>
        <w:rPr>
          <w:rFonts w:hint="default"/>
          <w:lang w:val="en-US"/>
        </w:rPr>
      </w:pPr>
    </w:p>
    <w:p w14:paraId="172B8B4B">
      <w:pPr>
        <w:rPr>
          <w:rFonts w:hint="default"/>
          <w:lang w:val="en-US"/>
        </w:rPr>
      </w:pPr>
    </w:p>
    <w:p w14:paraId="5CAEFF4F">
      <w:pPr>
        <w:rPr>
          <w:rFonts w:hint="default"/>
          <w:lang w:val="en-US"/>
        </w:rPr>
      </w:pPr>
    </w:p>
    <w:p w14:paraId="3C8D497B">
      <w:pPr>
        <w:rPr>
          <w:rFonts w:hint="default"/>
          <w:lang w:val="en-US"/>
        </w:rPr>
      </w:pPr>
    </w:p>
    <w:p w14:paraId="1F8D707A">
      <w:pPr>
        <w:rPr>
          <w:rFonts w:hint="default"/>
          <w:lang w:val="en-US"/>
        </w:rPr>
      </w:pPr>
    </w:p>
    <w:p w14:paraId="12C9AD58">
      <w:pPr>
        <w:rPr>
          <w:rFonts w:hint="default"/>
          <w:lang w:val="en-US"/>
        </w:rPr>
      </w:pPr>
    </w:p>
    <w:p w14:paraId="193CEA37">
      <w:pPr>
        <w:rPr>
          <w:rFonts w:hint="default"/>
          <w:lang w:val="en-US"/>
        </w:rPr>
      </w:pPr>
    </w:p>
    <w:p w14:paraId="67937CB1">
      <w:pPr>
        <w:rPr>
          <w:rFonts w:hint="default"/>
          <w:lang w:val="en-US"/>
        </w:rPr>
      </w:pPr>
    </w:p>
    <w:p w14:paraId="5A632004">
      <w:pPr>
        <w:rPr>
          <w:rFonts w:hint="default"/>
          <w:lang w:val="en-US"/>
        </w:rPr>
      </w:pPr>
    </w:p>
    <w:p w14:paraId="6D6E868F">
      <w:pPr>
        <w:rPr>
          <w:rFonts w:hint="default"/>
          <w:lang w:val="en-US"/>
        </w:rPr>
      </w:pPr>
    </w:p>
    <w:p w14:paraId="04860437">
      <w:pPr>
        <w:rPr>
          <w:rFonts w:hint="default"/>
          <w:lang w:val="en-US"/>
        </w:rPr>
      </w:pPr>
    </w:p>
    <w:p w14:paraId="338DA481">
      <w:pPr>
        <w:rPr>
          <w:rFonts w:hint="default"/>
          <w:lang w:val="en-US"/>
        </w:rPr>
      </w:pPr>
    </w:p>
    <w:p w14:paraId="181A983F">
      <w:pPr>
        <w:rPr>
          <w:rFonts w:hint="default"/>
          <w:lang w:val="en-US"/>
        </w:rPr>
      </w:pPr>
    </w:p>
    <w:p w14:paraId="677AF640">
      <w:pPr>
        <w:rPr>
          <w:rFonts w:hint="default"/>
          <w:lang w:val="en-US"/>
        </w:rPr>
      </w:pPr>
    </w:p>
    <w:p w14:paraId="2807A6F3">
      <w:pPr>
        <w:rPr>
          <w:rFonts w:hint="default"/>
          <w:lang w:val="en-US"/>
        </w:rPr>
      </w:pPr>
    </w:p>
    <w:p w14:paraId="1B73ABEC">
      <w:pPr>
        <w:rPr>
          <w:rFonts w:hint="default"/>
          <w:lang w:val="en-US"/>
        </w:rPr>
      </w:pPr>
    </w:p>
    <w:p w14:paraId="2EDA91C0">
      <w:pPr>
        <w:rPr>
          <w:rFonts w:hint="default"/>
          <w:lang w:val="en-US"/>
        </w:rPr>
      </w:pPr>
    </w:p>
    <w:p w14:paraId="6B297305">
      <w:pPr>
        <w:rPr>
          <w:rFonts w:hint="default"/>
          <w:lang w:val="en-US"/>
        </w:rPr>
      </w:pPr>
    </w:p>
    <w:p w14:paraId="7DB28056">
      <w:pPr>
        <w:rPr>
          <w:rFonts w:hint="default"/>
          <w:lang w:val="en-US"/>
        </w:rPr>
      </w:pPr>
    </w:p>
    <w:p w14:paraId="702072C1">
      <w:pPr>
        <w:rPr>
          <w:rFonts w:hint="default"/>
          <w:lang w:val="en-US"/>
        </w:rPr>
      </w:pPr>
    </w:p>
    <w:p w14:paraId="5D6EAECB">
      <w:pPr>
        <w:rPr>
          <w:rFonts w:hint="default"/>
          <w:lang w:val="en-US"/>
        </w:rPr>
      </w:pPr>
    </w:p>
    <w:p w14:paraId="0B39022A">
      <w:pPr>
        <w:rPr>
          <w:rFonts w:hint="default"/>
          <w:lang w:val="en-US"/>
        </w:rPr>
      </w:pPr>
    </w:p>
    <w:p w14:paraId="52735E69">
      <w:pPr>
        <w:rPr>
          <w:rFonts w:hint="default"/>
          <w:lang w:val="en-US"/>
        </w:rPr>
      </w:pPr>
    </w:p>
    <w:p w14:paraId="0F33F0B4">
      <w:pPr>
        <w:rPr>
          <w:rFonts w:hint="default"/>
          <w:lang w:val="en-US"/>
        </w:rPr>
      </w:pPr>
    </w:p>
    <w:p w14:paraId="1ADA9BDB">
      <w:pPr>
        <w:rPr>
          <w:rFonts w:hint="default"/>
          <w:lang w:val="en-US"/>
        </w:rPr>
      </w:pPr>
    </w:p>
    <w:p w14:paraId="7148631D">
      <w:pPr>
        <w:rPr>
          <w:rFonts w:hint="default"/>
          <w:lang w:val="en-US"/>
        </w:rPr>
      </w:pPr>
      <w:r>
        <w:rPr>
          <w:b/>
          <w:bCs/>
        </w:rPr>
        <w:t xml:space="preserve">Figure-1.2. </w:t>
      </w:r>
      <w:r>
        <w:t>Complete transistor-level schematic of the</w:t>
      </w:r>
      <w:r>
        <w:rPr>
          <w:rFonts w:hint="default"/>
          <w:lang w:val="en-US"/>
        </w:rPr>
        <w:t xml:space="preserve"> </w:t>
      </w:r>
      <w:r>
        <w:t>CMOS</w:t>
      </w:r>
      <w:r>
        <w:rPr>
          <w:rFonts w:hint="default"/>
          <w:lang w:val="en-US"/>
        </w:rPr>
        <w:t xml:space="preserve"> (inverter</w:t>
      </w:r>
      <w:bookmarkStart w:id="0" w:name="_GoBack"/>
      <w:bookmarkEnd w:id="0"/>
      <w:r>
        <w:rPr>
          <w:rFonts w:hint="default"/>
          <w:lang w:val="en-US"/>
        </w:rPr>
        <w:t>)</w:t>
      </w:r>
    </w:p>
    <w:p w14:paraId="27A9DDA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4458970"/>
            <wp:effectExtent l="0" t="0" r="6985" b="17780"/>
            <wp:docPr id="2" name="Picture 2" descr="Not_gate inver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Not_gate inverter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188F">
      <w:pPr>
        <w:rPr>
          <w:rFonts w:hint="default"/>
          <w:lang w:val="en-US"/>
        </w:rPr>
      </w:pPr>
    </w:p>
    <w:p w14:paraId="00C3129C">
      <w:pPr>
        <w:rPr>
          <w:rFonts w:hint="default"/>
          <w:lang w:val="en-US"/>
        </w:rPr>
      </w:pPr>
    </w:p>
    <w:p w14:paraId="3EC9495F">
      <w:pPr>
        <w:rPr>
          <w:rFonts w:hint="default"/>
          <w:lang w:val="en-US"/>
        </w:rPr>
      </w:pPr>
    </w:p>
    <w:p w14:paraId="226D5C38">
      <w:pPr>
        <w:rPr>
          <w:rFonts w:hint="default"/>
          <w:lang w:val="en-US"/>
        </w:rPr>
      </w:pPr>
    </w:p>
    <w:p w14:paraId="2B3FDD5F">
      <w:pPr>
        <w:rPr>
          <w:rFonts w:hint="default"/>
          <w:lang w:val="en-US"/>
        </w:rPr>
      </w:pPr>
    </w:p>
    <w:p w14:paraId="4189A18F">
      <w:pPr>
        <w:rPr>
          <w:rFonts w:hint="default"/>
          <w:lang w:val="en-US"/>
        </w:rPr>
      </w:pPr>
    </w:p>
    <w:p w14:paraId="0695AB26">
      <w:pPr>
        <w:rPr>
          <w:rFonts w:hint="default"/>
          <w:lang w:val="en-US"/>
        </w:rPr>
      </w:pPr>
    </w:p>
    <w:p w14:paraId="7683FFD0">
      <w:pPr>
        <w:rPr>
          <w:rFonts w:hint="default"/>
          <w:lang w:val="en-US"/>
        </w:rPr>
      </w:pPr>
    </w:p>
    <w:p w14:paraId="2D000C1A">
      <w:pPr>
        <w:rPr>
          <w:rFonts w:hint="default"/>
          <w:lang w:val="en-US"/>
        </w:rPr>
      </w:pPr>
    </w:p>
    <w:p w14:paraId="7C398A23">
      <w:pPr>
        <w:rPr>
          <w:rFonts w:hint="default"/>
          <w:lang w:val="en-US"/>
        </w:rPr>
      </w:pPr>
    </w:p>
    <w:p w14:paraId="46BF43F7">
      <w:pPr>
        <w:rPr>
          <w:rFonts w:hint="default"/>
          <w:lang w:val="en-US"/>
        </w:rPr>
      </w:pPr>
    </w:p>
    <w:p w14:paraId="50B178D1">
      <w:pPr>
        <w:rPr>
          <w:rFonts w:hint="default"/>
          <w:lang w:val="en-US"/>
        </w:rPr>
      </w:pPr>
    </w:p>
    <w:p w14:paraId="677B3533">
      <w:pPr>
        <w:rPr>
          <w:rFonts w:hint="default"/>
          <w:lang w:val="en-US"/>
        </w:rPr>
      </w:pPr>
    </w:p>
    <w:p w14:paraId="723ABCD3">
      <w:pPr>
        <w:rPr>
          <w:rFonts w:hint="default"/>
          <w:lang w:val="en-US"/>
        </w:rPr>
      </w:pPr>
    </w:p>
    <w:p w14:paraId="2A95DADD">
      <w:pPr>
        <w:rPr>
          <w:rFonts w:hint="default"/>
          <w:lang w:val="en-US"/>
        </w:rPr>
      </w:pPr>
    </w:p>
    <w:p w14:paraId="6EE3B0EB">
      <w:pPr>
        <w:rPr>
          <w:rFonts w:hint="default"/>
          <w:lang w:val="en-US"/>
        </w:rPr>
      </w:pPr>
    </w:p>
    <w:p w14:paraId="50573FC9">
      <w:pPr>
        <w:rPr>
          <w:rFonts w:hint="default"/>
          <w:lang w:val="en-US"/>
        </w:rPr>
      </w:pPr>
    </w:p>
    <w:p w14:paraId="3E8954B2">
      <w:pPr>
        <w:rPr>
          <w:rFonts w:hint="default"/>
          <w:lang w:val="en-US"/>
        </w:rPr>
      </w:pPr>
    </w:p>
    <w:p w14:paraId="198BF765">
      <w:pPr>
        <w:rPr>
          <w:rFonts w:hint="default"/>
          <w:lang w:val="en-US"/>
        </w:rPr>
      </w:pPr>
    </w:p>
    <w:p w14:paraId="559B2AF6">
      <w:pPr>
        <w:rPr>
          <w:rFonts w:hint="default"/>
          <w:lang w:val="en-US"/>
        </w:rPr>
      </w:pPr>
    </w:p>
    <w:p w14:paraId="50E5B7E7">
      <w:pPr>
        <w:rPr>
          <w:rFonts w:hint="default"/>
          <w:lang w:val="en-US"/>
        </w:rPr>
      </w:pPr>
    </w:p>
    <w:p w14:paraId="01680307">
      <w:pPr>
        <w:rPr>
          <w:rFonts w:hint="default"/>
          <w:lang w:val="en-US"/>
        </w:rPr>
      </w:pPr>
    </w:p>
    <w:p w14:paraId="0926AA08">
      <w:pPr>
        <w:rPr>
          <w:rFonts w:hint="default"/>
          <w:lang w:val="en-US"/>
        </w:rPr>
      </w:pPr>
    </w:p>
    <w:p w14:paraId="58DFAF04">
      <w:pPr>
        <w:rPr>
          <w:rFonts w:hint="default"/>
          <w:lang w:val="en-US"/>
        </w:rPr>
      </w:pPr>
    </w:p>
    <w:p w14:paraId="1AB5FB57">
      <w:pPr>
        <w:rPr>
          <w:rFonts w:hint="default"/>
          <w:lang w:val="en-US"/>
        </w:rPr>
      </w:pPr>
    </w:p>
    <w:p w14:paraId="2C7BC1F4">
      <w:pPr>
        <w:rPr>
          <w:rFonts w:hint="default"/>
          <w:lang w:val="en-US"/>
        </w:rPr>
      </w:pPr>
    </w:p>
    <w:p w14:paraId="4E7921BB">
      <w:pPr>
        <w:rPr>
          <w:rFonts w:hint="default"/>
          <w:lang w:val="en-US"/>
        </w:rPr>
      </w:pPr>
      <w:r>
        <w:rPr>
          <w:b/>
          <w:bCs/>
        </w:rPr>
        <w:t xml:space="preserve">Figure-1.4. </w:t>
      </w:r>
      <w:r>
        <w:t>Test bench schematic (inverter_test)</w:t>
      </w:r>
    </w:p>
    <w:p w14:paraId="7CDDE68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4665345"/>
            <wp:effectExtent l="0" t="0" r="3175" b="1905"/>
            <wp:docPr id="1" name="Picture 1" descr="Not_gate inverter_tes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ot_gate inverter_test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8A4392"/>
    <w:rsid w:val="528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2026-09-06T20:48:00Z</dcterms:created>
  <dc:creator>MahiM 09</dc:creator>
  <cp:lastModifiedBy>MahiM 09</cp:lastModifiedBy>
  <dcterms:modified xsi:type="dcterms:W3CDTF">2026-09-06T20:52:02Z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007D5CB2F3E8488C8C72D0AEFDD1AFC5_11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