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Ecommerce Project Practical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7 </w:t>
        <w:br w:type="textWrapping"/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Vue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مكتبات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Mahmoud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Ibrahim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Anonymous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b w:val="1"/>
          <w:rtl w:val="1"/>
        </w:rPr>
        <w:t xml:space="preserve">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والمشروع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( PHP - Laravel - Vue - Ecommerce - Project ) 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المحققة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وهدفه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والمصنعين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:-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العضويات</w:t>
      </w:r>
      <w:r w:rsidDel="00000000" w:rsidR="00000000" w:rsidRPr="00000000">
        <w:rPr>
          <w:rtl w:val="1"/>
        </w:rPr>
        <w:t xml:space="preserve">  : </w:t>
      </w:r>
      <w:r w:rsidDel="00000000" w:rsidR="00000000" w:rsidRPr="00000000">
        <w:rPr>
          <w:rtl w:val="1"/>
        </w:rPr>
        <w:t xml:space="preserve">مشترى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بائع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مصنع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مورد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المدورة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والمناطق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٩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١٠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الاحجام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١١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١٢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والمنطقة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١٣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١٤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١٥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١٦ -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١٧ 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١٨ 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١٩-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٢٠-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٢١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٢٢ -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ملحوظة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المتلقى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:-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 -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للعضويات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Stocks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والمحافظات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احصائياتهم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لإستخدامها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المنشورة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٩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للمشترى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١٠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الاحجام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لاشك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!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١١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بطولاته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١٢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والمنطقة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١٣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١٤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للمصنع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١٥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١٦ -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١٧ 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البريدية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الاوسع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١٨ 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١٩-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إستعادة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٢٠-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الامكانيات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٢١ -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البنوك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Paypal + Cashu + Payfort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اخرى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Cashu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ماستركارد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Cashu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Payfort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٢٢ -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المسترجعة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شىء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شىء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