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5e8995b206abba336f1da2ecf9f0ab227b609c"/>
    <w:p>
      <w:pPr>
        <w:pStyle w:val="Heading1"/>
      </w:pPr>
      <w:r>
        <w:t xml:space="preserve">⚡ Skadi 6‑Bay Smart Charger — v4.5 (Final Engineering Revision)</w:t>
      </w:r>
    </w:p>
    <w:p>
      <w:pPr>
        <w:pStyle w:val="BlockText"/>
      </w:pPr>
      <w:r>
        <w:rPr>
          <w:b/>
          <w:bCs/>
        </w:rPr>
        <w:t xml:space="preserve">Projet EOS Positioning Systems — Division R&amp;D Skadi</w:t>
      </w:r>
      <w:r>
        <w:br/>
      </w:r>
      <w:r>
        <w:t xml:space="preserve">Version consolidée (matérielle + logicielle) intégrant la logique firmware finale, la sécurité complète, et les spécifications de production.</w:t>
      </w:r>
      <w:r>
        <w:br/>
      </w:r>
      <w:r>
        <w:t xml:space="preserve">Conçu pour les batteries</w:t>
      </w:r>
      <w:r>
        <w:t xml:space="preserve"> </w:t>
      </w:r>
      <w:r>
        <w:rPr>
          <w:b/>
          <w:bCs/>
        </w:rPr>
        <w:t xml:space="preserve">Excel 2EXL1505 (7.2 V / 3.3 Ah / 23.76 Wh)</w:t>
      </w:r>
      <w:r>
        <w:t xml:space="preserve"> </w:t>
      </w:r>
      <w:r>
        <w:t xml:space="preserve">à base de cellules</w:t>
      </w:r>
      <w:r>
        <w:t xml:space="preserve"> </w:t>
      </w:r>
      <w:r>
        <w:rPr>
          <w:b/>
          <w:bCs/>
        </w:rPr>
        <w:t xml:space="preserve">NCR18650B</w:t>
      </w:r>
      <w:r>
        <w:t xml:space="preserve">.</w:t>
      </w:r>
      <w:r>
        <w:br/>
      </w:r>
      <w:r>
        <w:t xml:space="preserve">Objectif : maintenir automatiquement le SoC à</w:t>
      </w:r>
      <w:r>
        <w:t xml:space="preserve"> </w:t>
      </w:r>
      <w:r>
        <w:rPr>
          <w:b/>
          <w:bCs/>
        </w:rPr>
        <w:t xml:space="preserve">30 % (stockage)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100 % (plein)</w:t>
      </w:r>
      <w:r>
        <w:t xml:space="preserve">, avec supervision, isolation et télémétrie BLE.</w:t>
      </w:r>
    </w:p>
    <w:p>
      <w:r>
        <w:pict>
          <v:rect style="width:0;height:1.5pt" o:hralign="center" o:hrstd="t" o:hr="t"/>
        </w:pict>
      </w:r>
    </w:p>
    <w:bookmarkStart w:id="20" w:name="présentation-du-projet"/>
    <w:p>
      <w:pPr>
        <w:pStyle w:val="Heading2"/>
      </w:pPr>
      <w:r>
        <w:t xml:space="preserve">🧭 1 — Présentation du Projet</w:t>
      </w:r>
    </w:p>
    <w:p>
      <w:pPr>
        <w:pStyle w:val="FirstParagraph"/>
      </w:pPr>
      <w:r>
        <w:t xml:space="preserve">Ce chargeur intelligent à</w:t>
      </w:r>
      <w:r>
        <w:t xml:space="preserve"> </w:t>
      </w:r>
      <w:r>
        <w:rPr>
          <w:b/>
          <w:bCs/>
        </w:rPr>
        <w:t xml:space="preserve">6 baies</w:t>
      </w:r>
      <w:r>
        <w:t xml:space="preserve"> </w:t>
      </w:r>
      <w:r>
        <w:t xml:space="preserve">permet de gérer automatiquement la charge des batteries Skadi 2S Li‑ion selon deux modes 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 Stockage (30 %)</w:t>
      </w:r>
      <w:r>
        <w:t xml:space="preserve"> : ramener ou maintenir le SoC à 30 % pour conformité IATA DGR / UN 3480 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 Plein (100 %)</w:t>
      </w:r>
      <w:r>
        <w:t xml:space="preserve"> : recharge complète pour tests et exploitation ;</w:t>
      </w:r>
    </w:p>
    <w:p>
      <w:pPr>
        <w:pStyle w:val="BodyText"/>
      </w:pPr>
      <w:r>
        <w:t xml:space="preserve">Chaque pack intègre son</w:t>
      </w:r>
      <w:r>
        <w:t xml:space="preserve"> </w:t>
      </w:r>
      <w:r>
        <w:rPr>
          <w:b/>
          <w:bCs/>
        </w:rPr>
        <w:t xml:space="preserve">chargeur CC/CV (BQ24610)</w:t>
      </w:r>
      <w:r>
        <w:t xml:space="preserve"> </w:t>
      </w:r>
      <w:r>
        <w:t xml:space="preserve">et son</w:t>
      </w:r>
      <w:r>
        <w:t xml:space="preserve"> </w:t>
      </w:r>
      <w:r>
        <w:rPr>
          <w:b/>
          <w:bCs/>
        </w:rPr>
        <w:t xml:space="preserve">fuel‑gauge (MAX17263)</w:t>
      </w:r>
      <w:r>
        <w:t xml:space="preserve">.</w:t>
      </w:r>
      <w:r>
        <w:br/>
      </w:r>
      <w:r>
        <w:t xml:space="preserve">La carte maître contrôle l’alimentation 12 V, supervise l’état, et communique par BLE.</w:t>
      </w:r>
    </w:p>
    <w:p>
      <w:pPr>
        <w:pStyle w:val="BodyText"/>
      </w:pPr>
      <w:r>
        <w:rPr>
          <w:b/>
          <w:bCs/>
        </w:rPr>
        <w:t xml:space="preserve">Entrée</w:t>
      </w:r>
      <w:r>
        <w:t xml:space="preserve"> : 12 V / 12 A DC  </w:t>
      </w:r>
      <w:r>
        <w:rPr>
          <w:b/>
          <w:bCs/>
        </w:rPr>
        <w:t xml:space="preserve">Connectique baie</w:t>
      </w:r>
      <w:r>
        <w:t xml:space="preserve"> : 2×6 pogo pins (12 V, GND, SDA, SCL, DET, réservé)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du-système"/>
    <w:p>
      <w:pPr>
        <w:pStyle w:val="Heading2"/>
      </w:pPr>
      <w:r>
        <w:t xml:space="preserve">⚙️ 2 — Architecture du Système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PSU 12 V / 12 A (150 W)      │</w:t>
      </w:r>
      <w:r>
        <w:br/>
      </w:r>
      <w:r>
        <w:rPr>
          <w:rStyle w:val="VerbatimChar"/>
        </w:rPr>
        <w:t xml:space="preserve">        └──────────┬────────────────────┘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│  (Fuse 15 A + TVS + NTC)</w:t>
      </w:r>
      <w:r>
        <w:br/>
      </w:r>
      <w:r>
        <w:rPr>
          <w:rStyle w:val="VerbatimChar"/>
        </w:rPr>
        <w:t xml:space="preserve">        ┌──────────┴──────────┐</w:t>
      </w:r>
      <w:r>
        <w:br/>
      </w:r>
      <w:r>
        <w:rPr>
          <w:rStyle w:val="VerbatimChar"/>
        </w:rPr>
        <w:t xml:space="preserve">        │ Bus 12 V commun    │</w:t>
      </w:r>
      <w:r>
        <w:br/>
      </w:r>
      <w:r>
        <w:rPr>
          <w:rStyle w:val="VerbatimChar"/>
        </w:rPr>
        <w:t xml:space="preserve">        └┬─┬─┬─┬─┬─┬────────┘</w:t>
      </w:r>
      <w:r>
        <w:br/>
      </w:r>
      <w:r>
        <w:rPr>
          <w:rStyle w:val="VerbatimChar"/>
        </w:rPr>
        <w:t xml:space="preserve">         │ │ │ │ │ │  (6 baies)</w:t>
      </w:r>
      <w:r>
        <w:br/>
      </w:r>
      <w:r>
        <w:rPr>
          <w:rStyle w:val="VerbatimChar"/>
        </w:rPr>
        <w:t xml:space="preserve">         ▼ ▼ ▼ ▼ ▼ ▼</w:t>
      </w:r>
      <w:r>
        <w:br/>
      </w:r>
      <w:r>
        <w:rPr>
          <w:rStyle w:val="VerbatimChar"/>
        </w:rPr>
        <w:t xml:space="preserve">     ┌────────────────────┐</w:t>
      </w:r>
      <w:r>
        <w:br/>
      </w:r>
      <w:r>
        <w:rPr>
          <w:rStyle w:val="VerbatimChar"/>
        </w:rPr>
        <w:t xml:space="preserve">     │ P‑MOS AO4407A ×6  │ ← commande grille via N‑MOS DMG2302UX</w:t>
      </w:r>
      <w:r>
        <w:br/>
      </w:r>
      <w:r>
        <w:rPr>
          <w:rStyle w:val="VerbatimChar"/>
        </w:rPr>
        <w:t xml:space="preserve">     └────────────────────┘</w:t>
      </w:r>
      <w:r>
        <w:br/>
      </w:r>
      <w:r>
        <w:rPr>
          <w:rStyle w:val="VerbatimChar"/>
        </w:rPr>
        <w:t xml:space="preserve">         │   │   │   │   │</w:t>
      </w:r>
      <w:r>
        <w:br/>
      </w:r>
      <w:r>
        <w:rPr>
          <w:rStyle w:val="VerbatimChar"/>
        </w:rPr>
        <w:t xml:space="preserve">         ▼   ▼   ▼   ▼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Pogo pins (2×6) → Packs 2S  │</w:t>
      </w:r>
      <w:r>
        <w:br/>
      </w:r>
      <w:r>
        <w:rPr>
          <w:rStyle w:val="VerbatimChar"/>
        </w:rPr>
        <w:t xml:space="preserve">   │  (MAX17263 + BQ24610)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│  (Bus I²C racine 3V3)</w:t>
      </w:r>
      <w:r>
        <w:br/>
      </w:r>
      <w:r>
        <w:rPr>
          <w:rStyle w:val="VerbatimChar"/>
        </w:rPr>
        <w:t xml:space="preserve">      ┌──────┴────────────────────────────┐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STM32L031K6 (MCU)                │</w:t>
      </w:r>
      <w:r>
        <w:br/>
      </w:r>
      <w:r>
        <w:rPr>
          <w:rStyle w:val="VerbatimChar"/>
        </w:rPr>
        <w:t xml:space="preserve">      │  ├─ TCA9548A (MUX I²C 8 ch)      │</w:t>
      </w:r>
      <w:r>
        <w:br/>
      </w:r>
      <w:r>
        <w:rPr>
          <w:rStyle w:val="VerbatimChar"/>
        </w:rPr>
        <w:t xml:space="preserve">      │  │    ├─ TCA9803×6 → Packs       │</w:t>
      </w:r>
      <w:r>
        <w:br/>
      </w:r>
      <w:r>
        <w:rPr>
          <w:rStyle w:val="VerbatimChar"/>
        </w:rPr>
        <w:t xml:space="preserve">      │  │    └─ PCA9634 → LED status    │</w:t>
      </w:r>
      <w:r>
        <w:br/>
      </w:r>
      <w:r>
        <w:rPr>
          <w:rStyle w:val="VerbatimChar"/>
        </w:rPr>
        <w:t xml:space="preserve">      │  ├─ ADC → 12 V Monitor           │</w:t>
      </w:r>
      <w:r>
        <w:br/>
      </w:r>
      <w:r>
        <w:rPr>
          <w:rStyle w:val="VerbatimChar"/>
        </w:rPr>
        <w:t xml:space="preserve">      │  ├─ UART → HC‑08 (BLE)           │</w:t>
      </w:r>
      <w:r>
        <w:br/>
      </w:r>
      <w:r>
        <w:rPr>
          <w:rStyle w:val="VerbatimChar"/>
        </w:rPr>
        <w:t xml:space="preserve">      │  └─ GPIO → MOSFETs / Ventilateur │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référence-batterie-excel-2exl1505"/>
    <w:p>
      <w:pPr>
        <w:pStyle w:val="Heading2"/>
      </w:pPr>
      <w:r>
        <w:t xml:space="preserve">🔋 3 — Référence Batterie : Excel 2EXL1505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Commentaire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Li‑ion 2S (2 × 18650 NCR18650B)</w:t>
            </w:r>
          </w:p>
        </w:tc>
        <w:tc>
          <w:tcPr/>
          <w:p>
            <w:pPr>
              <w:pStyle w:val="Compact"/>
            </w:pPr>
            <w:r>
              <w:t xml:space="preserve">Cellules Panasonic 3.35 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Tension nominale</w:t>
            </w:r>
          </w:p>
        </w:tc>
        <w:tc>
          <w:tcPr/>
          <w:p>
            <w:pPr>
              <w:pStyle w:val="Compact"/>
            </w:pPr>
            <w:r>
              <w:t xml:space="preserve">7.2 V</w:t>
            </w:r>
          </w:p>
        </w:tc>
        <w:tc>
          <w:tcPr/>
          <w:p>
            <w:pPr>
              <w:pStyle w:val="Compact"/>
            </w:pPr>
            <w:r>
              <w:t xml:space="preserve">3.6 V × 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Tension max</w:t>
            </w:r>
          </w:p>
        </w:tc>
        <w:tc>
          <w:tcPr/>
          <w:p>
            <w:pPr>
              <w:pStyle w:val="Compact"/>
            </w:pPr>
            <w:r>
              <w:t xml:space="preserve">8.4 V</w:t>
            </w:r>
          </w:p>
        </w:tc>
        <w:tc>
          <w:tcPr/>
          <w:p>
            <w:pPr>
              <w:pStyle w:val="Compact"/>
            </w:pPr>
            <w:r>
              <w:t xml:space="preserve">Fin CV du BQ24610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Capacité</w:t>
            </w:r>
          </w:p>
        </w:tc>
        <w:tc>
          <w:tcPr/>
          <w:p>
            <w:pPr>
              <w:pStyle w:val="Compact"/>
            </w:pPr>
            <w:r>
              <w:t xml:space="preserve">3.3 Ah</w:t>
            </w:r>
          </w:p>
        </w:tc>
        <w:tc>
          <w:tcPr/>
          <w:p>
            <w:pPr>
              <w:pStyle w:val="Compact"/>
            </w:pPr>
            <w:r>
              <w:t xml:space="preserve">23.76 Wh (étiquette)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Courant charge</w:t>
            </w:r>
          </w:p>
        </w:tc>
        <w:tc>
          <w:tcPr/>
          <w:p>
            <w:pPr>
              <w:pStyle w:val="Compact"/>
            </w:pPr>
            <w:r>
              <w:t xml:space="preserve">1.6 A (0.5 C)</w:t>
            </w:r>
          </w:p>
        </w:tc>
        <w:tc>
          <w:tcPr/>
          <w:p>
            <w:pPr>
              <w:pStyle w:val="Compact"/>
            </w:pPr>
            <w:r>
              <w:t xml:space="preserve">Typique CC/CV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 interne</w:t>
            </w:r>
          </w:p>
        </w:tc>
        <w:tc>
          <w:tcPr/>
          <w:p>
            <w:pPr>
              <w:pStyle w:val="Compact"/>
            </w:pPr>
            <w:r>
              <w:t xml:space="preserve">Fusible 2 A + PTC + NTC 10 k</w:t>
            </w:r>
          </w:p>
        </w:tc>
        <w:tc>
          <w:tcPr/>
          <w:p>
            <w:pPr>
              <w:pStyle w:val="Compact"/>
            </w:pPr>
            <w:r>
              <w:t xml:space="preserve">Double sécurité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Température charge</w:t>
            </w:r>
          </w:p>
        </w:tc>
        <w:tc>
          <w:tcPr/>
          <w:p>
            <w:pPr>
              <w:pStyle w:val="Compact"/>
            </w:pPr>
            <w:r>
              <w:t xml:space="preserve">0 → 45 °C</w:t>
            </w:r>
          </w:p>
        </w:tc>
        <w:tc>
          <w:tcPr/>
          <w:p>
            <w:pPr>
              <w:pStyle w:val="Compact"/>
            </w:pPr>
            <w:r>
              <w:t xml:space="preserve">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Température décharge</w:t>
            </w:r>
          </w:p>
        </w:tc>
        <w:tc>
          <w:tcPr/>
          <w:p>
            <w:pPr>
              <w:pStyle w:val="Compact"/>
            </w:pPr>
            <w:r>
              <w:t xml:space="preserve"> –20 → 60 °C</w:t>
            </w:r>
          </w:p>
        </w:tc>
        <w:tc>
          <w:tcPr/>
          <w:p>
            <w:pPr>
              <w:pStyle w:val="Compact"/>
            </w:pPr>
            <w:r>
              <w:t xml:space="preserve"> </w:t>
            </w:r>
          </w:p>
        </w:tc>
      </w:tr>
    </w:tbl>
    <w:p>
      <w:pPr>
        <w:pStyle w:val="BodyText"/>
      </w:pPr>
      <w:r>
        <w:rPr>
          <w:b/>
          <w:bCs/>
        </w:rPr>
        <w:t xml:space="preserve">Remarque :</w:t>
      </w:r>
      <w:r>
        <w:t xml:space="preserve"> </w:t>
      </w:r>
      <w:r>
        <w:t xml:space="preserve">La LUT du MAX17263 utilise le profil NCR18650B → SoC précis sans recalibration.</w:t>
      </w:r>
    </w:p>
    <w:p>
      <w:r>
        <w:pict>
          <v:rect style="width:0;height:1.5pt" o:hralign="center" o:hrstd="t" o:hr="t"/>
        </w:pict>
      </w:r>
    </w:p>
    <w:bookmarkEnd w:id="22"/>
    <w:bookmarkStart w:id="23" w:name="dimensionnement-formules"/>
    <w:p>
      <w:pPr>
        <w:pStyle w:val="Heading2"/>
      </w:pPr>
      <w:r>
        <w:t xml:space="preserve">🧮 4 — Dimensionnement &amp; Formules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I_{IN}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Exemple : 7.4 V × 1.6 A / (0.9 × 12 V) ≈ 1.1 A par baie → 6 baies ≈ 7 A totaux.</w:t>
      </w:r>
    </w:p>
    <w:p>
      <w:pPr>
        <w:pStyle w:val="BodyText"/>
      </w:pPr>
      <w:r>
        <w:rPr>
          <w:b/>
          <w:bCs/>
        </w:rPr>
        <w:t xml:space="preserve">Bus 12 V :</w:t>
      </w:r>
      <w:r>
        <w:t xml:space="preserve"> pistes 3 mm (ΔT ≤ 20 °C) ; branches ≥ 1 mm ; norme IPC‑2152.</w:t>
      </w:r>
    </w:p>
    <w:p>
      <w:r>
        <w:pict>
          <v:rect style="width:0;height:1.5pt" o:hralign="center" o:hrstd="t" o:hr="t"/>
        </w:pict>
      </w:r>
    </w:p>
    <w:bookmarkEnd w:id="23"/>
    <w:bookmarkStart w:id="24" w:name="logique-firmware-machine-à-états-finis"/>
    <w:p>
      <w:pPr>
        <w:pStyle w:val="Heading2"/>
      </w:pPr>
      <w:r>
        <w:t xml:space="preserve">🧠 5 — Logique Firmware (Machine à états finis)</w:t>
      </w:r>
    </w:p>
    <w:p>
      <w:pPr>
        <w:pStyle w:val="SourceCode"/>
      </w:pPr>
      <w:r>
        <w:rPr>
          <w:rStyle w:val="VerbatimChar"/>
        </w:rPr>
        <w:t xml:space="preserve">              ┌────────────┐</w:t>
      </w:r>
      <w:r>
        <w:br/>
      </w:r>
      <w:r>
        <w:rPr>
          <w:rStyle w:val="VerbatimChar"/>
        </w:rPr>
        <w:t xml:space="preserve">              │   IDLE     │←────────────┐</w:t>
      </w:r>
      <w:r>
        <w:br/>
      </w:r>
      <w:r>
        <w:rPr>
          <w:rStyle w:val="VerbatimChar"/>
        </w:rPr>
        <w:t xml:space="preserve">              │ (aucun pack)│            │</w:t>
      </w:r>
      <w:r>
        <w:br/>
      </w:r>
      <w:r>
        <w:rPr>
          <w:rStyle w:val="VerbatimChar"/>
        </w:rPr>
        <w:t xml:space="preserve">              └──────┬─────┘            │</w:t>
      </w:r>
      <w:r>
        <w:br/>
      </w:r>
      <w:r>
        <w:rPr>
          <w:rStyle w:val="VerbatimChar"/>
        </w:rPr>
        <w:t xml:space="preserve">                     │                 │</w:t>
      </w:r>
      <w:r>
        <w:br/>
      </w:r>
      <w:r>
        <w:rPr>
          <w:rStyle w:val="VerbatimChar"/>
        </w:rPr>
        <w:t xml:space="preserve">             Pack détecté              │</w:t>
      </w:r>
      <w:r>
        <w:br/>
      </w:r>
      <w:r>
        <w:rPr>
          <w:rStyle w:val="VerbatimChar"/>
        </w:rPr>
        <w:t xml:space="preserve">                     ▼                 │</w:t>
      </w:r>
      <w:r>
        <w:br/>
      </w:r>
      <w:r>
        <w:rPr>
          <w:rStyle w:val="VerbatimChar"/>
        </w:rPr>
        <w:t xml:space="preserve">               ┌────────────┐          │</w:t>
      </w:r>
      <w:r>
        <w:br/>
      </w:r>
      <w:r>
        <w:rPr>
          <w:rStyle w:val="VerbatimChar"/>
        </w:rPr>
        <w:t xml:space="preserve">               │   CHECK    │          │</w:t>
      </w:r>
      <w:r>
        <w:br/>
      </w:r>
      <w:r>
        <w:rPr>
          <w:rStyle w:val="VerbatimChar"/>
        </w:rPr>
        <w:t xml:space="preserve">               │ Lecture SoC│          │</w:t>
      </w:r>
      <w:r>
        <w:br/>
      </w:r>
      <w:r>
        <w:rPr>
          <w:rStyle w:val="VerbatimChar"/>
        </w:rPr>
        <w:t xml:space="preserve">               └──────┬─────┘          │</w:t>
      </w:r>
      <w:r>
        <w:br/>
      </w:r>
      <w:r>
        <w:rPr>
          <w:rStyle w:val="VerbatimChar"/>
        </w:rPr>
        <w:t xml:space="preserve">         SoC&lt;seuil    │   défaut I²C   │</w:t>
      </w:r>
      <w:r>
        <w:br/>
      </w:r>
      <w:r>
        <w:rPr>
          <w:rStyle w:val="VerbatimChar"/>
        </w:rPr>
        <w:t xml:space="preserve">                     ▼                 │</w:t>
      </w:r>
      <w:r>
        <w:br/>
      </w:r>
      <w:r>
        <w:rPr>
          <w:rStyle w:val="VerbatimChar"/>
        </w:rPr>
        <w:t xml:space="preserve">             ┌──────────────┐          │</w:t>
      </w:r>
      <w:r>
        <w:br/>
      </w:r>
      <w:r>
        <w:rPr>
          <w:rStyle w:val="VerbatimChar"/>
        </w:rPr>
        <w:t xml:space="preserve">             │  CHARGING    │──────────┘</w:t>
      </w:r>
      <w:r>
        <w:br/>
      </w:r>
      <w:r>
        <w:rPr>
          <w:rStyle w:val="VerbatimChar"/>
        </w:rPr>
        <w:t xml:space="preserve">             │ 12 V ON→pack │</w:t>
      </w:r>
      <w:r>
        <w:br/>
      </w:r>
      <w:r>
        <w:rPr>
          <w:rStyle w:val="VerbatimChar"/>
        </w:rPr>
        <w:t xml:space="preserve">             └──────┬───────┘</w:t>
      </w:r>
      <w:r>
        <w:br/>
      </w:r>
      <w:r>
        <w:rPr>
          <w:rStyle w:val="VerbatimChar"/>
        </w:rPr>
        <w:t xml:space="preserve">           SoC≥cible│  T°&gt;45 °C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┌──────────────┐</w:t>
      </w:r>
      <w:r>
        <w:br/>
      </w:r>
      <w:r>
        <w:rPr>
          <w:rStyle w:val="VerbatimChar"/>
        </w:rPr>
        <w:t xml:space="preserve">             │   STABLE     │</w:t>
      </w:r>
      <w:r>
        <w:br/>
      </w:r>
      <w:r>
        <w:rPr>
          <w:rStyle w:val="VerbatimChar"/>
        </w:rPr>
        <w:t xml:space="preserve">             │ (30 % ou 100 %)│</w:t>
      </w:r>
      <w:r>
        <w:br/>
      </w:r>
      <w:r>
        <w:rPr>
          <w:rStyle w:val="VerbatimChar"/>
        </w:rPr>
        <w:t xml:space="preserve">             └──────┬───────┘</w:t>
      </w:r>
      <w:r>
        <w:br/>
      </w:r>
      <w:r>
        <w:rPr>
          <w:rStyle w:val="VerbatimChar"/>
        </w:rPr>
        <w:t xml:space="preserve">           défaut →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┌──────────────┐</w:t>
      </w:r>
      <w:r>
        <w:br/>
      </w:r>
      <w:r>
        <w:rPr>
          <w:rStyle w:val="VerbatimChar"/>
        </w:rPr>
        <w:t xml:space="preserve">             │   FAULT      │</w:t>
      </w:r>
      <w:r>
        <w:br/>
      </w:r>
      <w:r>
        <w:rPr>
          <w:rStyle w:val="VerbatimChar"/>
        </w:rPr>
        <w:t xml:space="preserve">             └──────────────┘</w:t>
      </w:r>
    </w:p>
    <w:p>
      <w:pPr>
        <w:pStyle w:val="FirstParagraph"/>
      </w:pPr>
      <w:r>
        <w:rPr>
          <w:b/>
          <w:bCs/>
        </w:rPr>
        <w:t xml:space="preserve">Principes clés :</w:t>
      </w:r>
      <w:r>
        <w:t xml:space="preserve"> </w:t>
      </w:r>
      <w:r>
        <w:t xml:space="preserve">- Boucle non bloquante (Systick 2 s).</w:t>
      </w:r>
      <w:r>
        <w:br/>
      </w:r>
      <w:r>
        <w:t xml:space="preserve">- Lecture I²C via TCA9548A + TCA9803 ;</w:t>
      </w:r>
      <w:r>
        <w:t xml:space="preserve"> </w:t>
      </w:r>
      <w:r>
        <w:t xml:space="preserve">- Contrôle LEDs via PCA9634 ;</w:t>
      </w:r>
      <w:r>
        <w:t xml:space="preserve"> </w:t>
      </w:r>
      <w:r>
        <w:t xml:space="preserve">- Mode 100 % : le 12 V reste appliqué → le BQ24610 termine la charge (CC→CV→cut‑off) ;</w:t>
      </w:r>
      <w:r>
        <w:t xml:space="preserve"> </w:t>
      </w:r>
      <w:r>
        <w:t xml:space="preserve">- Mode 30 % : coupure 12 V après atteinte du SoC cible.</w:t>
      </w:r>
    </w:p>
    <w:p>
      <w:r>
        <w:pict>
          <v:rect style="width:0;height:1.5pt" o:hralign="center" o:hrstd="t" o:hr="t"/>
        </w:pict>
      </w:r>
    </w:p>
    <w:bookmarkEnd w:id="24"/>
    <w:bookmarkStart w:id="25" w:name="surveillance-adc-12-v"/>
    <w:p>
      <w:pPr>
        <w:pStyle w:val="Heading2"/>
      </w:pPr>
      <w:r>
        <w:t xml:space="preserve">🔎 6 — Surveillance ADC 12 V</w:t>
      </w:r>
    </w:p>
    <w:p>
      <w:pPr>
        <w:pStyle w:val="FirstParagraph"/>
      </w:pPr>
      <w:r>
        <w:t xml:space="preserve">Pont diviseur : 100 k / 20 k → ≈ 2 V @ 12 V entrée.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Seuil</w:t>
            </w:r>
          </w:p>
        </w:tc>
        <w:tc>
          <w:tcPr/>
          <w:p>
            <w:pPr>
              <w:pStyle w:val="Compact"/>
            </w:pPr>
            <w:r>
              <w:t xml:space="preserve">Action firmware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PSU basse</w:t>
            </w:r>
          </w:p>
        </w:tc>
        <w:tc>
          <w:tcPr/>
          <w:p>
            <w:pPr>
              <w:pStyle w:val="Compact"/>
            </w:pPr>
            <w:r>
              <w:t xml:space="preserve">&lt; 9.5 V (3 s)</w:t>
            </w:r>
          </w:p>
        </w:tc>
        <w:tc>
          <w:tcPr/>
          <w:p>
            <w:pPr>
              <w:pStyle w:val="Compact"/>
            </w:pPr>
            <w:r>
              <w:t xml:space="preserve">Coupure toutes baies + log 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PSU haute</w:t>
            </w:r>
          </w:p>
        </w:tc>
        <w:tc>
          <w:tcPr/>
          <w:p>
            <w:pPr>
              <w:pStyle w:val="Compact"/>
            </w:pPr>
            <w:r>
              <w:t xml:space="preserve">&gt; 13.2 V</w:t>
            </w:r>
          </w:p>
        </w:tc>
        <w:tc>
          <w:tcPr/>
          <w:p>
            <w:pPr>
              <w:pStyle w:val="Compact"/>
            </w:pPr>
            <w:r>
              <w:t xml:space="preserve">Alerte BLE + désactivation fan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Nominal</w:t>
            </w:r>
          </w:p>
        </w:tc>
        <w:tc>
          <w:tcPr/>
          <w:p>
            <w:pPr>
              <w:pStyle w:val="Compact"/>
            </w:pPr>
            <w:r>
              <w:t xml:space="preserve">11.5–12.5 V</w:t>
            </w:r>
          </w:p>
        </w:tc>
        <w:tc>
          <w:tcPr/>
          <w:p>
            <w:pPr>
              <w:pStyle w:val="Compact"/>
            </w:pPr>
            <w:r>
              <w:t xml:space="preserve">Fonctionnement normal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écurité-et-fiabilité"/>
    <w:p>
      <w:pPr>
        <w:pStyle w:val="Heading2"/>
      </w:pPr>
      <w:r>
        <w:t xml:space="preserve">🛡️ 7 — Sécurité et Fiabilité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 Watchdog (IWDG + WWDG)</w:t>
            </w:r>
          </w:p>
        </w:tc>
        <w:tc>
          <w:tcPr/>
          <w:p>
            <w:pPr>
              <w:pStyle w:val="Compact"/>
            </w:pPr>
            <w:r>
              <w:t xml:space="preserve">Redémarrage auto en cas de blocage firmware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 TPS3809K33</w:t>
            </w:r>
          </w:p>
        </w:tc>
        <w:tc>
          <w:tcPr/>
          <w:p>
            <w:pPr>
              <w:pStyle w:val="Compact"/>
            </w:pPr>
            <w:r>
              <w:t xml:space="preserve">Reset MCU si VCC &lt; 3.0 V ou chute PSU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TCA9803 Pull‑down 10 kΩ</w:t>
            </w:r>
          </w:p>
        </w:tc>
        <w:tc>
          <w:tcPr/>
          <w:p>
            <w:pPr>
              <w:pStyle w:val="Compact"/>
            </w:pPr>
            <w:r>
              <w:t xml:space="preserve">Évite bus I²C flottant si pack débranché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Protection interne pack</w:t>
            </w:r>
          </w:p>
        </w:tc>
        <w:tc>
          <w:tcPr/>
          <w:p>
            <w:pPr>
              <w:pStyle w:val="Compact"/>
            </w:pPr>
            <w:r>
              <w:t xml:space="preserve">Fusible 2 A + PTC interne + NTC 10 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Protection externe baie</w:t>
            </w:r>
          </w:p>
        </w:tc>
        <w:tc>
          <w:tcPr/>
          <w:p>
            <w:pPr>
              <w:pStyle w:val="Compact"/>
            </w:pPr>
            <w:r>
              <w:t xml:space="preserve">PTC 2.5 A + TVS SMBJ12A par baie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Thermal vias MOSFETs</w:t>
            </w:r>
          </w:p>
        </w:tc>
        <w:tc>
          <w:tcPr/>
          <w:p>
            <w:pPr>
              <w:pStyle w:val="Compact"/>
            </w:pPr>
            <w:r>
              <w:t xml:space="preserve">ΔT &lt; 15 °C @ 1 A avec ventilation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 logging Flash</w:t>
            </w:r>
          </w:p>
        </w:tc>
        <w:tc>
          <w:tcPr/>
          <w:p>
            <w:pPr>
              <w:pStyle w:val="Compact"/>
            </w:pPr>
            <w:r>
              <w:t xml:space="preserve">Historique SoC/T°/Fault (32 événements FIFO)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rofil-de-charge-cccv"/>
    <w:p>
      <w:pPr>
        <w:pStyle w:val="Heading2"/>
      </w:pPr>
      <w:r>
        <w:t xml:space="preserve">📈 8 — Profil de Charge (CC/CV)</w:t>
      </w:r>
    </w:p>
    <w:p>
      <w:pPr>
        <w:pStyle w:val="SourceCode"/>
      </w:pPr>
      <w:r>
        <w:rPr>
          <w:rStyle w:val="VerbatimChar"/>
        </w:rPr>
        <w:t xml:space="preserve">Courant (A)</w:t>
      </w:r>
      <w:r>
        <w:br/>
      </w:r>
      <w:r>
        <w:rPr>
          <w:rStyle w:val="VerbatimChar"/>
        </w:rPr>
        <w:t xml:space="preserve">│\</w:t>
      </w:r>
      <w:r>
        <w:br/>
      </w:r>
      <w:r>
        <w:rPr>
          <w:rStyle w:val="VerbatimChar"/>
        </w:rPr>
        <w:t xml:space="preserve">│ \</w:t>
      </w:r>
      <w:r>
        <w:br/>
      </w:r>
      <w:r>
        <w:rPr>
          <w:rStyle w:val="VerbatimChar"/>
        </w:rPr>
        <w:t xml:space="preserve">│  \______              ← Phase CV : courant chute</w:t>
      </w:r>
      <w:r>
        <w:br/>
      </w:r>
      <w:r>
        <w:rPr>
          <w:rStyle w:val="VerbatimChar"/>
        </w:rPr>
        <w:t xml:space="preserve">│         \___</w:t>
      </w:r>
      <w:r>
        <w:br/>
      </w:r>
      <w:r>
        <w:rPr>
          <w:rStyle w:val="VerbatimChar"/>
        </w:rPr>
        <w:t xml:space="preserve">│_____________ Temps →</w:t>
      </w:r>
    </w:p>
    <w:p>
      <w:pPr>
        <w:pStyle w:val="FirstParagraph"/>
      </w:pPr>
      <w:r>
        <w:rPr>
          <w:b/>
          <w:bCs/>
        </w:rPr>
        <w:t xml:space="preserve">Phases :</w:t>
      </w:r>
      <w:r>
        <w:br/>
      </w:r>
      <w:r>
        <w:t xml:space="preserve">- CC : courant constant jusqu’à ≈ 4.15 V / cellule ;</w:t>
      </w:r>
      <w:r>
        <w:t xml:space="preserve"> </w:t>
      </w:r>
      <w:r>
        <w:t xml:space="preserve">- CV : tension constante 8.4 V (pack 2S), courant → 0.06 A ;</w:t>
      </w:r>
      <w:r>
        <w:t xml:space="preserve"> </w:t>
      </w:r>
      <w:r>
        <w:t xml:space="preserve">- Fin charge : courant &lt; 65 mA → arrêt automatique du BQ24610.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t_{CC} ≈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Exemple : 3.35 Ah, 0 → 100 % → ≈ 2.3 h (+ 15–25 min CV) à 0.5 C.</w:t>
      </w:r>
      <w:r>
        <w:br/>
      </w:r>
      <w:r>
        <w:t xml:space="preserve">20 → 30 % → ≈ 12 min.</w:t>
      </w:r>
    </w:p>
    <w:p>
      <w:r>
        <w:pict>
          <v:rect style="width:0;height:1.5pt" o:hralign="center" o:hrstd="t" o:hr="t"/>
        </w:pict>
      </w:r>
    </w:p>
    <w:bookmarkEnd w:id="27"/>
    <w:bookmarkStart w:id="28" w:name="bom-détail-complet"/>
    <w:p>
      <w:pPr>
        <w:pStyle w:val="Heading2"/>
      </w:pPr>
      <w:r>
        <w:t xml:space="preserve">📦 9 — BOM (Détail Complet)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941"/>
        <w:gridCol w:w="113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Composants</w:t>
            </w:r>
          </w:p>
        </w:tc>
        <w:tc>
          <w:tcPr/>
          <w:p>
            <w:pPr>
              <w:pStyle w:val="Compact"/>
            </w:pPr>
            <w:r>
              <w:t xml:space="preserve">Qté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Entrée 12 V</w:t>
            </w:r>
          </w:p>
        </w:tc>
        <w:tc>
          <w:tcPr/>
          <w:p>
            <w:pPr>
              <w:pStyle w:val="Compact"/>
            </w:pPr>
            <w:r>
              <w:t xml:space="preserve">PSU 12 V 12 A, Fusible 15 A (T), TVS SMBJ15A, NTC 5D‑11, Condensateurs 470–1000 µF + 0.1 µF</w:t>
            </w:r>
          </w:p>
        </w:tc>
        <w:tc>
          <w:tcPr/>
          <w:p>
            <w:pPr>
              <w:pStyle w:val="Compact"/>
            </w:pPr>
            <w:r>
              <w:t xml:space="preserve"> 1 </w:t>
            </w:r>
          </w:p>
        </w:tc>
        <w:tc>
          <w:tcPr/>
          <w:p>
            <w:pPr>
              <w:pStyle w:val="Compact"/>
            </w:pPr>
            <w:r>
              <w:t xml:space="preserve">Alim commune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Commutation par baie</w:t>
            </w:r>
          </w:p>
        </w:tc>
        <w:tc>
          <w:tcPr/>
          <w:p>
            <w:pPr>
              <w:pStyle w:val="Compact"/>
            </w:pPr>
            <w:r>
              <w:t xml:space="preserve">AO4407A (P‑MOS), DMG2302UX (N‑MOS), R_g 47–100 Ω, Pull‑up 100 kΩ → 12 V, Zener 12–15 V G‑S, PTC 2.5 A, TVS SMBJ12A, Cdec 10 µF + 0.1 µF</w:t>
            </w:r>
          </w:p>
        </w:tc>
        <w:tc>
          <w:tcPr/>
          <w:p>
            <w:pPr>
              <w:pStyle w:val="Compact"/>
            </w:pPr>
            <w:r>
              <w:t xml:space="preserve"> 6 </w:t>
            </w:r>
          </w:p>
        </w:tc>
        <w:tc>
          <w:tcPr/>
          <w:p>
            <w:pPr>
              <w:pStyle w:val="Compact"/>
            </w:pPr>
            <w:r>
              <w:t xml:space="preserve">Étages haute 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Logique &amp; I²C</w:t>
            </w:r>
          </w:p>
        </w:tc>
        <w:tc>
          <w:tcPr/>
          <w:p>
            <w:pPr>
              <w:pStyle w:val="Compact"/>
            </w:pPr>
            <w:r>
              <w:t xml:space="preserve">STM32L031K6, TPS3809, TCA9548A, TCA9803×6, PCA9634, R_pull‑ups 2.2–4.7 kΩ, R_series 33–47 Ω, R_pulldown 10 kΩ (B‑side), ESD array</w:t>
            </w:r>
          </w:p>
        </w:tc>
        <w:tc>
          <w:tcPr/>
          <w:p>
            <w:pPr>
              <w:pStyle w:val="Compact"/>
            </w:pPr>
            <w:r>
              <w:t xml:space="preserve"> 1 </w:t>
            </w:r>
          </w:p>
        </w:tc>
        <w:tc>
          <w:tcPr/>
          <w:p>
            <w:pPr>
              <w:pStyle w:val="Compact"/>
            </w:pPr>
            <w:r>
              <w:t xml:space="preserve">Cœur système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LEDs &amp; indication</w:t>
            </w:r>
          </w:p>
        </w:tc>
        <w:tc>
          <w:tcPr/>
          <w:p>
            <w:pPr>
              <w:pStyle w:val="Compact"/>
            </w:pPr>
            <w:r>
              <w:t xml:space="preserve">LEDs R/V/B/J, PCA9634, R_EXT courant 10 mA / canal</w:t>
            </w:r>
          </w:p>
        </w:tc>
        <w:tc>
          <w:tcPr/>
          <w:p>
            <w:pPr>
              <w:pStyle w:val="Compact"/>
            </w:pPr>
            <w:r>
              <w:t xml:space="preserve"> 1 </w:t>
            </w:r>
          </w:p>
        </w:tc>
        <w:tc>
          <w:tcPr/>
          <w:p>
            <w:pPr>
              <w:pStyle w:val="Compact"/>
            </w:pPr>
            <w:r>
              <w:t xml:space="preserve">Statut par baie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Connectique</w:t>
            </w:r>
          </w:p>
        </w:tc>
        <w:tc>
          <w:tcPr/>
          <w:p>
            <w:pPr>
              <w:pStyle w:val="Compact"/>
            </w:pPr>
            <w:r>
              <w:t xml:space="preserve">Pogo pins 2×6 or plated</w:t>
            </w:r>
          </w:p>
        </w:tc>
        <w:tc>
          <w:tcPr/>
          <w:p>
            <w:pPr>
              <w:pStyle w:val="Compact"/>
            </w:pPr>
            <w:r>
              <w:t xml:space="preserve"> 6 </w:t>
            </w:r>
          </w:p>
        </w:tc>
        <w:tc>
          <w:tcPr/>
          <w:p>
            <w:pPr>
              <w:pStyle w:val="Compact"/>
            </w:pPr>
            <w:r>
              <w:t xml:space="preserve">Interface batterie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Pads SWD (3 pins) + UART (3 pins)</w:t>
            </w:r>
          </w:p>
        </w:tc>
        <w:tc>
          <w:tcPr/>
          <w:p>
            <w:pPr>
              <w:pStyle w:val="Compact"/>
            </w:pPr>
            <w:r>
              <w:t xml:space="preserve"> 1 </w:t>
            </w:r>
          </w:p>
        </w:tc>
        <w:tc>
          <w:tcPr/>
          <w:p>
            <w:pPr>
              <w:pStyle w:val="Compact"/>
            </w:pPr>
            <w:r>
              <w:t xml:space="preserve">Programmation / 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Ventilation</w:t>
            </w:r>
          </w:p>
        </w:tc>
        <w:tc>
          <w:tcPr/>
          <w:p>
            <w:pPr>
              <w:pStyle w:val="Compact"/>
            </w:pPr>
            <w:r>
              <w:t xml:space="preserve">Fan 12 V PWM (option), MOSFET AO3400, NTC 10 k châssis</w:t>
            </w:r>
          </w:p>
        </w:tc>
        <w:tc>
          <w:tcPr/>
          <w:p>
            <w:pPr>
              <w:pStyle w:val="Compact"/>
            </w:pPr>
            <w:r>
              <w:t xml:space="preserve"> 1 </w:t>
            </w:r>
          </w:p>
        </w:tc>
        <w:tc>
          <w:tcPr/>
          <w:p>
            <w:pPr>
              <w:pStyle w:val="Compact"/>
            </w:pPr>
            <w:r>
              <w:t xml:space="preserve">Gestion thermique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otes-de-conception"/>
    <w:p>
      <w:pPr>
        <w:pStyle w:val="Heading2"/>
      </w:pPr>
      <w:r>
        <w:t xml:space="preserve">🧰 10 — Notes de Conception</w:t>
      </w:r>
    </w:p>
    <w:p>
      <w:pPr>
        <w:pStyle w:val="Compact"/>
        <w:numPr>
          <w:ilvl w:val="0"/>
          <w:numId w:val="1001"/>
        </w:numPr>
      </w:pPr>
      <w:r>
        <w:t xml:space="preserve">Découplage : 100 nF par VDD + 4.7 µF bulk près du MCU.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BOOT0 : strap GND via 100 kΩ ; NRST : C 100 nF.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Traces SDA/SCL courtes + R‑série 33–47 Ω.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GND plan continu + via‑stitching autour des MOSFETs.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Distance I²C ≤ 10 cm entre MUX et TCA9803.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Pistes MOSFETs larges ≥ 3 mm, zones cuivre autour PTC.</w:t>
      </w:r>
    </w:p>
    <w:p>
      <w:r>
        <w:pict>
          <v:rect style="width:0;height:1.5pt" o:hralign="center" o:hrstd="t" o:hr="t"/>
        </w:pict>
      </w:r>
    </w:p>
    <w:bookmarkEnd w:id="29"/>
    <w:bookmarkStart w:id="30" w:name="étapes-suivantes"/>
    <w:p>
      <w:pPr>
        <w:pStyle w:val="Heading2"/>
      </w:pPr>
      <w:r>
        <w:t xml:space="preserve">🚀 11 — Étapes Suivantes</w:t>
      </w:r>
    </w:p>
    <w:p>
      <w:pPr>
        <w:pStyle w:val="Compact"/>
        <w:numPr>
          <w:ilvl w:val="0"/>
          <w:numId w:val="1002"/>
        </w:numPr>
      </w:pPr>
      <w:r>
        <w:t xml:space="preserve">Validation thermique (6× 1.6 A / 8.4 V).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Calibration ADC PSU + supervisor TPS3809.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Tests I²C multi‑baies + reconnexion à chaud.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Intégration firmware BLE / LEDs / logs Flash.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Finalisation PCB production (2 couches ou 4 avec fan optionnel).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 2025 EOS Positioning Systems — R&amp;D Skadi Project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2025-11-06T15:55:52Z</dcterms:created>
  <dcterms:modified xsi:type="dcterms:W3CDTF">2025-11-06T15:55:52Z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