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This is a sample multi-section document generated for an automated end-to-end test. </w:t>
      </w:r>
      <w:r>
        <w:rPr>
          <w:b/>
        </w:rPr>
        <w:t>This part is bold.</w:t>
      </w:r>
      <w:r>
        <w:rPr>
          <w:i/>
        </w:rPr>
        <w:t xml:space="preserve"> This part is italic.</w:t>
      </w:r>
    </w:p>
    <w:p>
      <w:pPr>
        <w:pStyle w:val="Heading2"/>
      </w:pPr>
      <w:r>
        <w:t>Summary</w:t>
      </w:r>
    </w:p>
    <w:p>
      <w:r>
        <w:t>The secret marker for this test is E2E-CHECK-DOCX-MARKER-K4R8P.</w:t>
      </w:r>
    </w:p>
    <w:p>
      <w:r>
        <w:t>Bullet points below:</w:t>
      </w:r>
    </w:p>
    <w:p>
      <w:pPr>
        <w:pStyle w:val="ListBullet"/>
      </w:pPr>
      <w:r>
        <w:t>First finding</w:t>
      </w:r>
    </w:p>
    <w:p>
      <w:pPr>
        <w:pStyle w:val="ListBullet"/>
      </w:pPr>
      <w:r>
        <w:t>Second finding</w:t>
      </w:r>
    </w:p>
    <w:p>
      <w:pPr>
        <w:pStyle w:val="ListBullet"/>
      </w:pPr>
      <w:r>
        <w:t>Third finding</w:t>
      </w:r>
    </w:p>
    <w:p>
      <w:pPr>
        <w:pStyle w:val="Heading2"/>
      </w:pPr>
      <w:r>
        <w:t>Embedded image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120000</w:t>
            </w:r>
          </w:p>
        </w:tc>
        <w:tc>
          <w:tcPr>
            <w:tcW w:type="dxa" w:w="2880"/>
          </w:tcPr>
          <w:p>
            <w:r>
              <w:t>4.2%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98000</w:t>
            </w:r>
          </w:p>
        </w:tc>
        <w:tc>
          <w:tcPr>
            <w:tcW w:type="dxa" w:w="2880"/>
          </w:tcPr>
          <w:p>
            <w:r>
              <w:t>-1.1%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143000</w:t>
            </w:r>
          </w:p>
        </w:tc>
        <w:tc>
          <w:tcPr>
            <w:tcW w:type="dxa" w:w="2880"/>
          </w:tcPr>
          <w:p>
            <w:r>
              <w:t>7.8%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