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A16CC" w14:textId="030E094B" w:rsidR="006975E6" w:rsidRPr="006975E6" w:rsidRDefault="006975E6" w:rsidP="006975E6">
      <w:pPr>
        <w:rPr>
          <w:b/>
          <w:bCs/>
          <w:lang w:val="en-US"/>
        </w:rPr>
      </w:pPr>
      <w:r w:rsidRPr="006975E6">
        <w:rPr>
          <w:lang w:val="en-US"/>
        </w:rPr>
        <w:t xml:space="preserve">Based on the </w:t>
      </w:r>
      <w:r>
        <w:rPr>
          <w:lang w:val="en-US"/>
        </w:rPr>
        <w:t>Data Analysis</w:t>
      </w:r>
      <w:r w:rsidRPr="006975E6">
        <w:rPr>
          <w:lang w:val="en-US"/>
        </w:rPr>
        <w:t>, here are the insights from each chart:</w:t>
      </w:r>
    </w:p>
    <w:p w14:paraId="79E97808" w14:textId="77777777" w:rsidR="006975E6" w:rsidRPr="006975E6" w:rsidRDefault="006975E6" w:rsidP="006975E6">
      <w:pPr>
        <w:numPr>
          <w:ilvl w:val="0"/>
          <w:numId w:val="1"/>
        </w:numPr>
      </w:pPr>
      <w:r w:rsidRPr="006975E6">
        <w:rPr>
          <w:b/>
          <w:bCs/>
        </w:rPr>
        <w:t xml:space="preserve">Gender </w:t>
      </w:r>
      <w:proofErr w:type="gramStart"/>
      <w:r w:rsidRPr="006975E6">
        <w:rPr>
          <w:b/>
          <w:bCs/>
        </w:rPr>
        <w:t>Distribution</w:t>
      </w:r>
      <w:r w:rsidRPr="006975E6">
        <w:t>:</w:t>
      </w:r>
      <w:proofErr w:type="gramEnd"/>
    </w:p>
    <w:p w14:paraId="0CAEC8B7" w14:textId="77777777" w:rsidR="006975E6" w:rsidRPr="006975E6" w:rsidRDefault="006975E6" w:rsidP="006975E6">
      <w:pPr>
        <w:numPr>
          <w:ilvl w:val="1"/>
          <w:numId w:val="1"/>
        </w:numPr>
        <w:rPr>
          <w:lang w:val="en-US"/>
        </w:rPr>
      </w:pPr>
      <w:r w:rsidRPr="006975E6">
        <w:rPr>
          <w:lang w:val="en-US"/>
        </w:rPr>
        <w:t>There are more male employees (8.9K) than female (8.1K) and a smaller number of non-conforming (0.5K) employees. This indicates a relatively balanced gender distribution but with a slight male dominance.</w:t>
      </w:r>
    </w:p>
    <w:p w14:paraId="2856C70F" w14:textId="77777777" w:rsidR="006975E6" w:rsidRPr="006975E6" w:rsidRDefault="006975E6" w:rsidP="006975E6">
      <w:pPr>
        <w:numPr>
          <w:ilvl w:val="0"/>
          <w:numId w:val="1"/>
        </w:numPr>
      </w:pPr>
      <w:r w:rsidRPr="006975E6">
        <w:rPr>
          <w:b/>
          <w:bCs/>
        </w:rPr>
        <w:t xml:space="preserve">Headquarters vs </w:t>
      </w:r>
      <w:proofErr w:type="gramStart"/>
      <w:r w:rsidRPr="006975E6">
        <w:rPr>
          <w:b/>
          <w:bCs/>
        </w:rPr>
        <w:t>Remote</w:t>
      </w:r>
      <w:r w:rsidRPr="006975E6">
        <w:t>:</w:t>
      </w:r>
      <w:proofErr w:type="gramEnd"/>
    </w:p>
    <w:p w14:paraId="241F553B" w14:textId="77777777" w:rsidR="006975E6" w:rsidRPr="006975E6" w:rsidRDefault="006975E6" w:rsidP="006975E6">
      <w:pPr>
        <w:numPr>
          <w:ilvl w:val="1"/>
          <w:numId w:val="1"/>
        </w:numPr>
        <w:rPr>
          <w:lang w:val="en-US"/>
        </w:rPr>
      </w:pPr>
      <w:r w:rsidRPr="006975E6">
        <w:rPr>
          <w:lang w:val="en-US"/>
        </w:rPr>
        <w:t>The majority of employees work at the headquarters (74.97%), while a smaller portion (25.03%) works remotely. This could suggest that the company values in-person collaboration or that the nature of the work requires physical presence.</w:t>
      </w:r>
    </w:p>
    <w:p w14:paraId="6115768C" w14:textId="77777777" w:rsidR="006975E6" w:rsidRPr="006975E6" w:rsidRDefault="006975E6" w:rsidP="006975E6">
      <w:pPr>
        <w:numPr>
          <w:ilvl w:val="0"/>
          <w:numId w:val="1"/>
        </w:numPr>
      </w:pPr>
      <w:r w:rsidRPr="006975E6">
        <w:rPr>
          <w:b/>
          <w:bCs/>
        </w:rPr>
        <w:t xml:space="preserve">Average Length of </w:t>
      </w:r>
      <w:proofErr w:type="gramStart"/>
      <w:r w:rsidRPr="006975E6">
        <w:rPr>
          <w:b/>
          <w:bCs/>
        </w:rPr>
        <w:t>Employment</w:t>
      </w:r>
      <w:r w:rsidRPr="006975E6">
        <w:t>:</w:t>
      </w:r>
      <w:proofErr w:type="gramEnd"/>
    </w:p>
    <w:p w14:paraId="0F71C8F5" w14:textId="77777777" w:rsidR="006975E6" w:rsidRPr="006975E6" w:rsidRDefault="006975E6" w:rsidP="006975E6">
      <w:pPr>
        <w:numPr>
          <w:ilvl w:val="1"/>
          <w:numId w:val="1"/>
        </w:numPr>
        <w:rPr>
          <w:lang w:val="en-US"/>
        </w:rPr>
      </w:pPr>
      <w:r w:rsidRPr="006975E6">
        <w:rPr>
          <w:lang w:val="en-US"/>
        </w:rPr>
        <w:t>The average length of employment is 8 years, which suggests that employees tend to stay with the company for a considerable period, indicating good retention rates or employee satisfaction.</w:t>
      </w:r>
    </w:p>
    <w:p w14:paraId="1B37084B" w14:textId="77777777" w:rsidR="006975E6" w:rsidRPr="006975E6" w:rsidRDefault="006975E6" w:rsidP="006975E6">
      <w:pPr>
        <w:numPr>
          <w:ilvl w:val="0"/>
          <w:numId w:val="1"/>
        </w:numPr>
      </w:pPr>
      <w:r w:rsidRPr="006975E6">
        <w:rPr>
          <w:b/>
          <w:bCs/>
        </w:rPr>
        <w:t>Change in Employees Number (2020-2022</w:t>
      </w:r>
      <w:proofErr w:type="gramStart"/>
      <w:r w:rsidRPr="006975E6">
        <w:rPr>
          <w:b/>
          <w:bCs/>
        </w:rPr>
        <w:t>)</w:t>
      </w:r>
      <w:r w:rsidRPr="006975E6">
        <w:t>:</w:t>
      </w:r>
      <w:proofErr w:type="gramEnd"/>
    </w:p>
    <w:p w14:paraId="2945DBF2" w14:textId="77777777" w:rsidR="006975E6" w:rsidRPr="006975E6" w:rsidRDefault="006975E6" w:rsidP="006975E6">
      <w:pPr>
        <w:numPr>
          <w:ilvl w:val="1"/>
          <w:numId w:val="1"/>
        </w:numPr>
        <w:rPr>
          <w:lang w:val="en-US"/>
        </w:rPr>
      </w:pPr>
      <w:r w:rsidRPr="006975E6">
        <w:rPr>
          <w:lang w:val="en-US"/>
        </w:rPr>
        <w:t>There has been a steady increase in the number of employees from 2020 to 2022, indicating growth or expansion in the company.</w:t>
      </w:r>
    </w:p>
    <w:p w14:paraId="78139D51" w14:textId="77777777" w:rsidR="006975E6" w:rsidRPr="006975E6" w:rsidRDefault="006975E6" w:rsidP="006975E6">
      <w:pPr>
        <w:numPr>
          <w:ilvl w:val="0"/>
          <w:numId w:val="1"/>
        </w:numPr>
      </w:pPr>
      <w:r w:rsidRPr="006975E6">
        <w:rPr>
          <w:b/>
          <w:bCs/>
        </w:rPr>
        <w:t xml:space="preserve">Race </w:t>
      </w:r>
      <w:proofErr w:type="gramStart"/>
      <w:r w:rsidRPr="006975E6">
        <w:rPr>
          <w:b/>
          <w:bCs/>
        </w:rPr>
        <w:t>Distribution</w:t>
      </w:r>
      <w:r w:rsidRPr="006975E6">
        <w:t>:</w:t>
      </w:r>
      <w:proofErr w:type="gramEnd"/>
    </w:p>
    <w:p w14:paraId="2387146E" w14:textId="77777777" w:rsidR="006975E6" w:rsidRPr="006975E6" w:rsidRDefault="006975E6" w:rsidP="006975E6">
      <w:pPr>
        <w:numPr>
          <w:ilvl w:val="1"/>
          <w:numId w:val="1"/>
        </w:numPr>
        <w:rPr>
          <w:lang w:val="en-US"/>
        </w:rPr>
      </w:pPr>
      <w:r w:rsidRPr="006975E6">
        <w:rPr>
          <w:lang w:val="en-US"/>
        </w:rPr>
        <w:t>The largest racial group within the company is White (5.0K), followed by those identifying with two or more races (2.9K), Black or African American (2.8K), Asian (2.8K), Hispanic or Latino (2.0K), American Indian or Alaska Native (1.1K), and Native Hawaiian or Other Pacific Islander (1.0K). This shows a diverse workforce, with a predominance of White employees.</w:t>
      </w:r>
    </w:p>
    <w:p w14:paraId="102777F0" w14:textId="77777777" w:rsidR="006975E6" w:rsidRPr="006975E6" w:rsidRDefault="006975E6" w:rsidP="006975E6">
      <w:pPr>
        <w:numPr>
          <w:ilvl w:val="0"/>
          <w:numId w:val="1"/>
        </w:numPr>
      </w:pPr>
      <w:r w:rsidRPr="006975E6">
        <w:rPr>
          <w:b/>
          <w:bCs/>
        </w:rPr>
        <w:t xml:space="preserve">Employees By </w:t>
      </w:r>
      <w:proofErr w:type="gramStart"/>
      <w:r w:rsidRPr="006975E6">
        <w:rPr>
          <w:b/>
          <w:bCs/>
        </w:rPr>
        <w:t>State</w:t>
      </w:r>
      <w:r w:rsidRPr="006975E6">
        <w:t>:</w:t>
      </w:r>
      <w:proofErr w:type="gramEnd"/>
    </w:p>
    <w:p w14:paraId="5530D999" w14:textId="77777777" w:rsidR="006975E6" w:rsidRPr="006975E6" w:rsidRDefault="006975E6" w:rsidP="006975E6">
      <w:pPr>
        <w:numPr>
          <w:ilvl w:val="1"/>
          <w:numId w:val="1"/>
        </w:numPr>
        <w:rPr>
          <w:lang w:val="en-US"/>
        </w:rPr>
      </w:pPr>
      <w:r w:rsidRPr="006975E6">
        <w:rPr>
          <w:lang w:val="en-US"/>
        </w:rPr>
        <w:t>The map indicates that the distribution of employees is concentrated in certain states, with Ohio, Illinois, and Michigan having larger circles, suggesting higher numbers of employees in those locations.</w:t>
      </w:r>
    </w:p>
    <w:p w14:paraId="4E18B140" w14:textId="77777777" w:rsidR="006975E6" w:rsidRPr="006975E6" w:rsidRDefault="006975E6" w:rsidP="006975E6">
      <w:pPr>
        <w:numPr>
          <w:ilvl w:val="0"/>
          <w:numId w:val="1"/>
        </w:numPr>
      </w:pPr>
      <w:r w:rsidRPr="006975E6">
        <w:rPr>
          <w:b/>
          <w:bCs/>
        </w:rPr>
        <w:t xml:space="preserve">Age Distribution by </w:t>
      </w:r>
      <w:proofErr w:type="gramStart"/>
      <w:r w:rsidRPr="006975E6">
        <w:rPr>
          <w:b/>
          <w:bCs/>
        </w:rPr>
        <w:t>Gender</w:t>
      </w:r>
      <w:r w:rsidRPr="006975E6">
        <w:t>:</w:t>
      </w:r>
      <w:proofErr w:type="gramEnd"/>
    </w:p>
    <w:p w14:paraId="2454C8F5" w14:textId="77777777" w:rsidR="006975E6" w:rsidRPr="006975E6" w:rsidRDefault="006975E6" w:rsidP="006975E6">
      <w:pPr>
        <w:numPr>
          <w:ilvl w:val="1"/>
          <w:numId w:val="1"/>
        </w:numPr>
        <w:rPr>
          <w:lang w:val="en-US"/>
        </w:rPr>
      </w:pPr>
      <w:r w:rsidRPr="006975E6">
        <w:rPr>
          <w:lang w:val="en-US"/>
        </w:rPr>
        <w:t xml:space="preserve">The largest age group for both male and female employees </w:t>
      </w:r>
      <w:proofErr w:type="gramStart"/>
      <w:r w:rsidRPr="006975E6">
        <w:rPr>
          <w:lang w:val="en-US"/>
        </w:rPr>
        <w:t>falls</w:t>
      </w:r>
      <w:proofErr w:type="gramEnd"/>
      <w:r w:rsidRPr="006975E6">
        <w:rPr>
          <w:lang w:val="en-US"/>
        </w:rPr>
        <w:t xml:space="preserve"> within the 45-54 range. Notably, there are slightly more males than females in every age group, consistent with the overall gender distribution.</w:t>
      </w:r>
    </w:p>
    <w:p w14:paraId="63AE1746" w14:textId="77777777" w:rsidR="006975E6" w:rsidRPr="006975E6" w:rsidRDefault="006975E6" w:rsidP="006975E6">
      <w:pPr>
        <w:numPr>
          <w:ilvl w:val="0"/>
          <w:numId w:val="1"/>
        </w:numPr>
        <w:rPr>
          <w:lang w:val="en-US"/>
        </w:rPr>
      </w:pPr>
      <w:r w:rsidRPr="006975E6">
        <w:rPr>
          <w:b/>
          <w:bCs/>
          <w:lang w:val="en-US"/>
        </w:rPr>
        <w:t>Sum of Termination Rate by Department</w:t>
      </w:r>
      <w:r w:rsidRPr="006975E6">
        <w:rPr>
          <w:lang w:val="en-US"/>
        </w:rPr>
        <w:t>:</w:t>
      </w:r>
    </w:p>
    <w:p w14:paraId="28BFC215" w14:textId="77777777" w:rsidR="006975E6" w:rsidRPr="006975E6" w:rsidRDefault="006975E6" w:rsidP="006975E6">
      <w:pPr>
        <w:numPr>
          <w:ilvl w:val="1"/>
          <w:numId w:val="1"/>
        </w:numPr>
        <w:rPr>
          <w:lang w:val="en-US"/>
        </w:rPr>
      </w:pPr>
      <w:r w:rsidRPr="006975E6">
        <w:rPr>
          <w:lang w:val="en-US"/>
        </w:rPr>
        <w:t>The Auditing department has the highest termination rate (0.18), followed by Legal (0.13), Training, Research and Development, and Human Resources (each at 0.12). This could indicate areas where employee retention is a concern.</w:t>
      </w:r>
    </w:p>
    <w:p w14:paraId="5F855773" w14:textId="77777777" w:rsidR="006975E6" w:rsidRPr="006975E6" w:rsidRDefault="006975E6" w:rsidP="006975E6">
      <w:pPr>
        <w:numPr>
          <w:ilvl w:val="0"/>
          <w:numId w:val="1"/>
        </w:numPr>
      </w:pPr>
      <w:r w:rsidRPr="006975E6">
        <w:rPr>
          <w:b/>
          <w:bCs/>
        </w:rPr>
        <w:t xml:space="preserve">Age Group </w:t>
      </w:r>
      <w:proofErr w:type="gramStart"/>
      <w:r w:rsidRPr="006975E6">
        <w:rPr>
          <w:b/>
          <w:bCs/>
        </w:rPr>
        <w:t>Distribution</w:t>
      </w:r>
      <w:r w:rsidRPr="006975E6">
        <w:t>:</w:t>
      </w:r>
      <w:proofErr w:type="gramEnd"/>
    </w:p>
    <w:p w14:paraId="1978BCFB" w14:textId="77777777" w:rsidR="006975E6" w:rsidRPr="006975E6" w:rsidRDefault="006975E6" w:rsidP="006975E6">
      <w:pPr>
        <w:numPr>
          <w:ilvl w:val="1"/>
          <w:numId w:val="1"/>
        </w:numPr>
        <w:rPr>
          <w:lang w:val="en-US"/>
        </w:rPr>
      </w:pPr>
      <w:r w:rsidRPr="006975E6">
        <w:rPr>
          <w:lang w:val="en-US"/>
        </w:rPr>
        <w:t xml:space="preserve">The age groups 25-34, 35-44, and 45-54 are the most represented among employees, with each of these groups having around 5.0K employees. The 18-24 and 55-64 age </w:t>
      </w:r>
      <w:r w:rsidRPr="006975E6">
        <w:rPr>
          <w:lang w:val="en-US"/>
        </w:rPr>
        <w:lastRenderedPageBreak/>
        <w:t>groups are less represented, which might suggest opportunities for hiring or that the company’s work is more appealing to mid-career professionals.</w:t>
      </w:r>
    </w:p>
    <w:p w14:paraId="47F6B9BB" w14:textId="77777777" w:rsidR="006975E6" w:rsidRPr="006975E6" w:rsidRDefault="006975E6" w:rsidP="006975E6">
      <w:pPr>
        <w:numPr>
          <w:ilvl w:val="0"/>
          <w:numId w:val="1"/>
        </w:numPr>
      </w:pPr>
      <w:r w:rsidRPr="006975E6">
        <w:rPr>
          <w:b/>
          <w:bCs/>
        </w:rPr>
        <w:t xml:space="preserve">Gender Distribution by </w:t>
      </w:r>
      <w:proofErr w:type="gramStart"/>
      <w:r w:rsidRPr="006975E6">
        <w:rPr>
          <w:b/>
          <w:bCs/>
        </w:rPr>
        <w:t>Department</w:t>
      </w:r>
      <w:r w:rsidRPr="006975E6">
        <w:t>:</w:t>
      </w:r>
      <w:proofErr w:type="gramEnd"/>
    </w:p>
    <w:p w14:paraId="5F401EE3" w14:textId="77777777" w:rsidR="006975E6" w:rsidRPr="006975E6" w:rsidRDefault="006975E6" w:rsidP="006975E6">
      <w:pPr>
        <w:numPr>
          <w:ilvl w:val="1"/>
          <w:numId w:val="1"/>
        </w:numPr>
        <w:rPr>
          <w:lang w:val="en-US"/>
        </w:rPr>
      </w:pPr>
      <w:r w:rsidRPr="006975E6">
        <w:rPr>
          <w:lang w:val="en-US"/>
        </w:rPr>
        <w:t>Engineering has a significantly higher number of male employees compared to females, which is a common trend in the tech industry. In contrast, Human Resources has a higher number of female employees. This distribution is indicative of gender representation trends seen across different sectors.</w:t>
      </w:r>
    </w:p>
    <w:p w14:paraId="39EDD025" w14:textId="77777777" w:rsidR="006975E6" w:rsidRPr="006975E6" w:rsidRDefault="006975E6" w:rsidP="006975E6">
      <w:pPr>
        <w:rPr>
          <w:lang w:val="en-US"/>
        </w:rPr>
      </w:pPr>
      <w:r w:rsidRPr="006975E6">
        <w:rPr>
          <w:lang w:val="en-US"/>
        </w:rPr>
        <w:t>From these charts, we can see that the company has a substantial workforce with a good balance in gender diversity but with a slight male dominance. There's a significant remote workforce which is worth noting for operational dynamics. The company is growing, has a diverse racial makeup, and seems to retain employees well. However, there may be a need to address termination rates in certain departments and consider diversity in others, particularly engineering. The concentration of employees in certain states might reflect the location of company facilities or areas of business focus.</w:t>
      </w:r>
    </w:p>
    <w:p w14:paraId="72F83E50" w14:textId="77777777" w:rsidR="00E624B6" w:rsidRPr="006975E6" w:rsidRDefault="00E624B6">
      <w:pPr>
        <w:rPr>
          <w:lang w:val="en-US"/>
        </w:rPr>
      </w:pPr>
    </w:p>
    <w:sectPr w:rsidR="00E624B6" w:rsidRPr="006975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C3791"/>
    <w:multiLevelType w:val="multilevel"/>
    <w:tmpl w:val="D3E48A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1346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27"/>
    <w:rsid w:val="006975E6"/>
    <w:rsid w:val="007B7527"/>
    <w:rsid w:val="00E624B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0974"/>
  <w15:chartTrackingRefBased/>
  <w15:docId w15:val="{A5ED26ED-96DF-44A0-BE5B-0DDE145A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7214">
      <w:bodyDiv w:val="1"/>
      <w:marLeft w:val="0"/>
      <w:marRight w:val="0"/>
      <w:marTop w:val="0"/>
      <w:marBottom w:val="0"/>
      <w:divBdr>
        <w:top w:val="none" w:sz="0" w:space="0" w:color="auto"/>
        <w:left w:val="none" w:sz="0" w:space="0" w:color="auto"/>
        <w:bottom w:val="none" w:sz="0" w:space="0" w:color="auto"/>
        <w:right w:val="none" w:sz="0" w:space="0" w:color="auto"/>
      </w:divBdr>
      <w:divsChild>
        <w:div w:id="791902903">
          <w:marLeft w:val="0"/>
          <w:marRight w:val="0"/>
          <w:marTop w:val="0"/>
          <w:marBottom w:val="0"/>
          <w:divBdr>
            <w:top w:val="single" w:sz="2" w:space="0" w:color="E3E3E3"/>
            <w:left w:val="single" w:sz="2" w:space="0" w:color="E3E3E3"/>
            <w:bottom w:val="single" w:sz="2" w:space="0" w:color="E3E3E3"/>
            <w:right w:val="single" w:sz="2" w:space="0" w:color="E3E3E3"/>
          </w:divBdr>
          <w:divsChild>
            <w:div w:id="1162549221">
              <w:marLeft w:val="0"/>
              <w:marRight w:val="0"/>
              <w:marTop w:val="0"/>
              <w:marBottom w:val="0"/>
              <w:divBdr>
                <w:top w:val="single" w:sz="2" w:space="0" w:color="E3E3E3"/>
                <w:left w:val="single" w:sz="2" w:space="0" w:color="E3E3E3"/>
                <w:bottom w:val="single" w:sz="2" w:space="0" w:color="E3E3E3"/>
                <w:right w:val="single" w:sz="2" w:space="0" w:color="E3E3E3"/>
              </w:divBdr>
              <w:divsChild>
                <w:div w:id="39480993">
                  <w:marLeft w:val="0"/>
                  <w:marRight w:val="0"/>
                  <w:marTop w:val="0"/>
                  <w:marBottom w:val="0"/>
                  <w:divBdr>
                    <w:top w:val="single" w:sz="2" w:space="0" w:color="E3E3E3"/>
                    <w:left w:val="single" w:sz="2" w:space="0" w:color="E3E3E3"/>
                    <w:bottom w:val="single" w:sz="2" w:space="0" w:color="E3E3E3"/>
                    <w:right w:val="single" w:sz="2" w:space="0" w:color="E3E3E3"/>
                  </w:divBdr>
                  <w:divsChild>
                    <w:div w:id="1563561942">
                      <w:marLeft w:val="0"/>
                      <w:marRight w:val="0"/>
                      <w:marTop w:val="0"/>
                      <w:marBottom w:val="0"/>
                      <w:divBdr>
                        <w:top w:val="single" w:sz="2" w:space="0" w:color="E3E3E3"/>
                        <w:left w:val="single" w:sz="2" w:space="0" w:color="E3E3E3"/>
                        <w:bottom w:val="single" w:sz="2" w:space="0" w:color="E3E3E3"/>
                        <w:right w:val="single" w:sz="2" w:space="0" w:color="E3E3E3"/>
                      </w:divBdr>
                      <w:divsChild>
                        <w:div w:id="1902445247">
                          <w:marLeft w:val="0"/>
                          <w:marRight w:val="0"/>
                          <w:marTop w:val="0"/>
                          <w:marBottom w:val="0"/>
                          <w:divBdr>
                            <w:top w:val="single" w:sz="2" w:space="0" w:color="E3E3E3"/>
                            <w:left w:val="single" w:sz="2" w:space="0" w:color="E3E3E3"/>
                            <w:bottom w:val="single" w:sz="2" w:space="0" w:color="E3E3E3"/>
                            <w:right w:val="single" w:sz="2" w:space="0" w:color="E3E3E3"/>
                          </w:divBdr>
                          <w:divsChild>
                            <w:div w:id="2088844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14602397">
          <w:marLeft w:val="0"/>
          <w:marRight w:val="0"/>
          <w:marTop w:val="0"/>
          <w:marBottom w:val="0"/>
          <w:divBdr>
            <w:top w:val="single" w:sz="2" w:space="0" w:color="E3E3E3"/>
            <w:left w:val="single" w:sz="2" w:space="0" w:color="E3E3E3"/>
            <w:bottom w:val="single" w:sz="2" w:space="0" w:color="E3E3E3"/>
            <w:right w:val="single" w:sz="2" w:space="0" w:color="E3E3E3"/>
          </w:divBdr>
          <w:divsChild>
            <w:div w:id="1941717361">
              <w:marLeft w:val="0"/>
              <w:marRight w:val="0"/>
              <w:marTop w:val="0"/>
              <w:marBottom w:val="0"/>
              <w:divBdr>
                <w:top w:val="single" w:sz="2" w:space="0" w:color="E3E3E3"/>
                <w:left w:val="single" w:sz="2" w:space="0" w:color="E3E3E3"/>
                <w:bottom w:val="single" w:sz="2" w:space="0" w:color="E3E3E3"/>
                <w:right w:val="single" w:sz="2" w:space="0" w:color="E3E3E3"/>
              </w:divBdr>
            </w:div>
            <w:div w:id="474950853">
              <w:marLeft w:val="0"/>
              <w:marRight w:val="0"/>
              <w:marTop w:val="0"/>
              <w:marBottom w:val="0"/>
              <w:divBdr>
                <w:top w:val="single" w:sz="2" w:space="0" w:color="E3E3E3"/>
                <w:left w:val="single" w:sz="2" w:space="0" w:color="E3E3E3"/>
                <w:bottom w:val="single" w:sz="2" w:space="0" w:color="E3E3E3"/>
                <w:right w:val="single" w:sz="2" w:space="0" w:color="E3E3E3"/>
              </w:divBdr>
              <w:divsChild>
                <w:div w:id="101732972">
                  <w:marLeft w:val="0"/>
                  <w:marRight w:val="0"/>
                  <w:marTop w:val="0"/>
                  <w:marBottom w:val="0"/>
                  <w:divBdr>
                    <w:top w:val="single" w:sz="2" w:space="0" w:color="E3E3E3"/>
                    <w:left w:val="single" w:sz="2" w:space="0" w:color="E3E3E3"/>
                    <w:bottom w:val="single" w:sz="2" w:space="0" w:color="E3E3E3"/>
                    <w:right w:val="single" w:sz="2" w:space="0" w:color="E3E3E3"/>
                  </w:divBdr>
                  <w:divsChild>
                    <w:div w:id="636691575">
                      <w:marLeft w:val="0"/>
                      <w:marRight w:val="0"/>
                      <w:marTop w:val="0"/>
                      <w:marBottom w:val="0"/>
                      <w:divBdr>
                        <w:top w:val="single" w:sz="2" w:space="0" w:color="E3E3E3"/>
                        <w:left w:val="single" w:sz="2" w:space="0" w:color="E3E3E3"/>
                        <w:bottom w:val="single" w:sz="2" w:space="0" w:color="E3E3E3"/>
                        <w:right w:val="single" w:sz="2" w:space="0" w:color="E3E3E3"/>
                      </w:divBdr>
                      <w:divsChild>
                        <w:div w:id="1955744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18064306">
      <w:bodyDiv w:val="1"/>
      <w:marLeft w:val="0"/>
      <w:marRight w:val="0"/>
      <w:marTop w:val="0"/>
      <w:marBottom w:val="0"/>
      <w:divBdr>
        <w:top w:val="none" w:sz="0" w:space="0" w:color="auto"/>
        <w:left w:val="none" w:sz="0" w:space="0" w:color="auto"/>
        <w:bottom w:val="none" w:sz="0" w:space="0" w:color="auto"/>
        <w:right w:val="none" w:sz="0" w:space="0" w:color="auto"/>
      </w:divBdr>
      <w:divsChild>
        <w:div w:id="58217070">
          <w:marLeft w:val="0"/>
          <w:marRight w:val="0"/>
          <w:marTop w:val="0"/>
          <w:marBottom w:val="0"/>
          <w:divBdr>
            <w:top w:val="single" w:sz="2" w:space="0" w:color="E3E3E3"/>
            <w:left w:val="single" w:sz="2" w:space="0" w:color="E3E3E3"/>
            <w:bottom w:val="single" w:sz="2" w:space="0" w:color="E3E3E3"/>
            <w:right w:val="single" w:sz="2" w:space="0" w:color="E3E3E3"/>
          </w:divBdr>
          <w:divsChild>
            <w:div w:id="531378960">
              <w:marLeft w:val="0"/>
              <w:marRight w:val="0"/>
              <w:marTop w:val="0"/>
              <w:marBottom w:val="0"/>
              <w:divBdr>
                <w:top w:val="single" w:sz="2" w:space="0" w:color="E3E3E3"/>
                <w:left w:val="single" w:sz="2" w:space="0" w:color="E3E3E3"/>
                <w:bottom w:val="single" w:sz="2" w:space="0" w:color="E3E3E3"/>
                <w:right w:val="single" w:sz="2" w:space="0" w:color="E3E3E3"/>
              </w:divBdr>
              <w:divsChild>
                <w:div w:id="1178273473">
                  <w:marLeft w:val="0"/>
                  <w:marRight w:val="0"/>
                  <w:marTop w:val="0"/>
                  <w:marBottom w:val="0"/>
                  <w:divBdr>
                    <w:top w:val="single" w:sz="2" w:space="0" w:color="E3E3E3"/>
                    <w:left w:val="single" w:sz="2" w:space="0" w:color="E3E3E3"/>
                    <w:bottom w:val="single" w:sz="2" w:space="0" w:color="E3E3E3"/>
                    <w:right w:val="single" w:sz="2" w:space="0" w:color="E3E3E3"/>
                  </w:divBdr>
                  <w:divsChild>
                    <w:div w:id="2010789076">
                      <w:marLeft w:val="0"/>
                      <w:marRight w:val="0"/>
                      <w:marTop w:val="0"/>
                      <w:marBottom w:val="0"/>
                      <w:divBdr>
                        <w:top w:val="single" w:sz="2" w:space="0" w:color="E3E3E3"/>
                        <w:left w:val="single" w:sz="2" w:space="0" w:color="E3E3E3"/>
                        <w:bottom w:val="single" w:sz="2" w:space="0" w:color="E3E3E3"/>
                        <w:right w:val="single" w:sz="2" w:space="0" w:color="E3E3E3"/>
                      </w:divBdr>
                      <w:divsChild>
                        <w:div w:id="767969024">
                          <w:marLeft w:val="0"/>
                          <w:marRight w:val="0"/>
                          <w:marTop w:val="0"/>
                          <w:marBottom w:val="0"/>
                          <w:divBdr>
                            <w:top w:val="single" w:sz="2" w:space="0" w:color="E3E3E3"/>
                            <w:left w:val="single" w:sz="2" w:space="0" w:color="E3E3E3"/>
                            <w:bottom w:val="single" w:sz="2" w:space="0" w:color="E3E3E3"/>
                            <w:right w:val="single" w:sz="2" w:space="0" w:color="E3E3E3"/>
                          </w:divBdr>
                          <w:divsChild>
                            <w:div w:id="1255699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22724628">
          <w:marLeft w:val="0"/>
          <w:marRight w:val="0"/>
          <w:marTop w:val="0"/>
          <w:marBottom w:val="0"/>
          <w:divBdr>
            <w:top w:val="single" w:sz="2" w:space="0" w:color="E3E3E3"/>
            <w:left w:val="single" w:sz="2" w:space="0" w:color="E3E3E3"/>
            <w:bottom w:val="single" w:sz="2" w:space="0" w:color="E3E3E3"/>
            <w:right w:val="single" w:sz="2" w:space="0" w:color="E3E3E3"/>
          </w:divBdr>
          <w:divsChild>
            <w:div w:id="1597052748">
              <w:marLeft w:val="0"/>
              <w:marRight w:val="0"/>
              <w:marTop w:val="0"/>
              <w:marBottom w:val="0"/>
              <w:divBdr>
                <w:top w:val="single" w:sz="2" w:space="0" w:color="E3E3E3"/>
                <w:left w:val="single" w:sz="2" w:space="0" w:color="E3E3E3"/>
                <w:bottom w:val="single" w:sz="2" w:space="0" w:color="E3E3E3"/>
                <w:right w:val="single" w:sz="2" w:space="0" w:color="E3E3E3"/>
              </w:divBdr>
            </w:div>
            <w:div w:id="1622109462">
              <w:marLeft w:val="0"/>
              <w:marRight w:val="0"/>
              <w:marTop w:val="0"/>
              <w:marBottom w:val="0"/>
              <w:divBdr>
                <w:top w:val="single" w:sz="2" w:space="0" w:color="E3E3E3"/>
                <w:left w:val="single" w:sz="2" w:space="0" w:color="E3E3E3"/>
                <w:bottom w:val="single" w:sz="2" w:space="0" w:color="E3E3E3"/>
                <w:right w:val="single" w:sz="2" w:space="0" w:color="E3E3E3"/>
              </w:divBdr>
              <w:divsChild>
                <w:div w:id="2009019048">
                  <w:marLeft w:val="0"/>
                  <w:marRight w:val="0"/>
                  <w:marTop w:val="0"/>
                  <w:marBottom w:val="0"/>
                  <w:divBdr>
                    <w:top w:val="single" w:sz="2" w:space="0" w:color="E3E3E3"/>
                    <w:left w:val="single" w:sz="2" w:space="0" w:color="E3E3E3"/>
                    <w:bottom w:val="single" w:sz="2" w:space="0" w:color="E3E3E3"/>
                    <w:right w:val="single" w:sz="2" w:space="0" w:color="E3E3E3"/>
                  </w:divBdr>
                  <w:divsChild>
                    <w:div w:id="372265552">
                      <w:marLeft w:val="0"/>
                      <w:marRight w:val="0"/>
                      <w:marTop w:val="0"/>
                      <w:marBottom w:val="0"/>
                      <w:divBdr>
                        <w:top w:val="single" w:sz="2" w:space="0" w:color="E3E3E3"/>
                        <w:left w:val="single" w:sz="2" w:space="0" w:color="E3E3E3"/>
                        <w:bottom w:val="single" w:sz="2" w:space="0" w:color="E3E3E3"/>
                        <w:right w:val="single" w:sz="2" w:space="0" w:color="E3E3E3"/>
                      </w:divBdr>
                      <w:divsChild>
                        <w:div w:id="1921140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2797</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Mrani Mohammed Amine</dc:creator>
  <cp:keywords/>
  <dc:description/>
  <cp:lastModifiedBy>Mrani Mohammed Amine</cp:lastModifiedBy>
  <cp:revision>2</cp:revision>
  <dcterms:created xsi:type="dcterms:W3CDTF">2024-03-10T20:48:00Z</dcterms:created>
  <dcterms:modified xsi:type="dcterms:W3CDTF">2024-03-10T20:48:00Z</dcterms:modified>
</cp:coreProperties>
</file>