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MANGALORE REFINERY AND PETROCHEMICALS LIMITED</w:t>
        <w:br/>
      </w:r>
      <w:r>
        <w:rPr>
          <w:b/>
          <w:color w:val="555555"/>
          <w:sz w:val="20"/>
        </w:rPr>
        <w:t>CONFIDENTIAL INTERNAL APPROVAL NOTE &amp; TECHNICAL SANCTION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Note Ref No: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MRPL/MAINT/2026/CDU-042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Date: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31-Aug-2026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Department: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Inspection &amp; Maintenance Dept.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Priority Level: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Originator: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Rajesh Kumar (Sr. Maintenance Engineer)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Approver: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Chief General Manager (Technical Services)</w:t>
            </w:r>
          </w:p>
        </w:tc>
      </w:tr>
    </w:tbl>
    <w:p>
      <w:pPr>
        <w:spacing w:after="160"/>
      </w:pPr>
    </w:p>
    <w:p>
      <w:pPr>
        <w:spacing w:before="120" w:after="160"/>
      </w:pPr>
      <w:r>
        <w:rPr>
          <w:b/>
          <w:color w:val="003366"/>
          <w:sz w:val="22"/>
        </w:rPr>
        <w:t xml:space="preserve">SUBJECT: </w:t>
      </w:r>
      <w:r>
        <w:rPr>
          <w:b/>
          <w:sz w:val="22"/>
        </w:rPr>
        <w:t>Emergency Overhaul Approval for Crude Distillation Pump P-102A</w:t>
      </w:r>
    </w:p>
    <w:p>
      <w:pPr>
        <w:pStyle w:val="Heading2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20"/>
              </w:rPr>
              <w:t>Thermographic and vibration telemetry in CDU-1 indicates critical drive-end bearing degradation (7.8 mm/s RMS vs 4.5 mm/s limit) on Main Crude Charge Pump P-102A. Immediate sanction is requested to overhaul the unit during the scheduled turnaround.</w:t>
            </w:r>
          </w:p>
        </w:tc>
      </w:tr>
    </w:tbl>
    <w:p>
      <w:pPr>
        <w:spacing w:after="160"/>
      </w:pPr>
    </w:p>
    <w:p>
      <w:pPr>
        <w:pStyle w:val="Heading2"/>
      </w:pPr>
      <w:r>
        <w:t>2. Detailed Equipment Findings &amp;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Equipment Tag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Action Required</w:t>
            </w:r>
          </w:p>
        </w:tc>
      </w:tr>
      <w:tr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P-102A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7.8 mm/s RMS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 RMS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CRITICAL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Replace bearing assembly &amp; precision balance</w:t>
            </w:r>
          </w:p>
        </w:tc>
      </w:tr>
      <w:tr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P-102A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Temperature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98.5 °C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75.0 °C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CRITICAL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Renew synthetic lubricant and lube oil piping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P-102B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 mm/s RMS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 RMS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NORMAL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Switch to primary active lead pump</w:t>
            </w:r>
          </w:p>
        </w:tc>
      </w:tr>
    </w:tbl>
    <w:p>
      <w:pPr>
        <w:spacing w:after="160"/>
      </w:pPr>
    </w:p>
    <w:p>
      <w:pPr>
        <w:pStyle w:val="Heading2"/>
      </w:pPr>
      <w:r>
        <w:t>3. Operational Risk &amp; Safety Assessment</w:t>
      </w:r>
    </w:p>
    <w:p>
      <w:pPr>
        <w:spacing w:after="120"/>
      </w:pPr>
      <w:r>
        <w:t>Operating P-102A under bearing spalling conditions presents severe risks of mechanical seal blowout and CDU-1 unplanned shutdown.</w:t>
      </w:r>
    </w:p>
    <w:p>
      <w:pPr>
        <w:pStyle w:val="Heading2"/>
      </w:pPr>
      <w:r>
        <w:t>4. Financial Budget Estimate</w:t>
      </w:r>
    </w:p>
    <w:p>
      <w:pPr>
        <w:spacing w:after="120"/>
      </w:pPr>
      <w:r>
        <w:rPr>
          <w:b/>
        </w:rPr>
        <w:t xml:space="preserve">Estimated Financial Sanction Required: </w:t>
      </w:r>
      <w:r>
        <w:rPr>
          <w:b/>
        </w:rPr>
        <w:t xml:space="preserve">INR 285,000.00 </w:t>
      </w:r>
      <w:r>
        <w:t>(Inclusive of required OEM spare parts, precision balancing, and overhaul labor).</w:t>
      </w:r>
    </w:p>
    <w:p>
      <w:pPr>
        <w:pStyle w:val="Heading2"/>
      </w:pPr>
      <w:r>
        <w:t>5. Recommendation &amp; Sanction Request</w:t>
      </w:r>
    </w:p>
    <w:p>
      <w:pPr>
        <w:spacing w:after="320"/>
      </w:pPr>
      <w:r>
        <w:t>Approval requested for immediate mobilization of OEM spares (SKF 23144 CC/W33) and mechanical overhaul.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Initiated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Reviewed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Approved By: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Rajesh Kumar (Sr. Maintenance Engineer)</w:t>
              <w:br/>
              <w:t>Sr. Maintenance Engineer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Head of Maintenance (CDU-1)</w:t>
              <w:br/>
              <w:t>MRPL Technical Services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Chief General Manager (Technical Services)</w:t>
              <w:br/>
              <w:t>Chief General Manager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