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
      </w:pPr>
      <w:r>
        <w:rPr>
          <w:rFonts w:ascii="Calibri Light" w:cs="Calibri Light" w:eastAsia="Calibri Light" w:hAnsi="Calibri Light"/>
          <w:b/>
          <w:bCs/>
          <w:color w:val="1B3A5C"/>
          <w:sz w:val="52"/>
          <w:szCs w:val="52"/>
        </w:rPr>
        <w:t xml:space="preserve">MONICA WUGHANGA MASAE</w:t>
      </w:r>
    </w:p>
    <w:p>
      <w:pPr>
        <w:spacing w:before="0" w:after="40"/>
      </w:pPr>
      <w:r>
        <w:rPr>
          <w:rFonts w:ascii="Calibri" w:cs="Calibri" w:eastAsia="Calibri" w:hAnsi="Calibri"/>
          <w:b/>
          <w:bCs/>
          <w:color w:val="C9A84C"/>
          <w:sz w:val="26"/>
          <w:szCs w:val="26"/>
        </w:rPr>
        <w:t xml:space="preserve">Data Analyst  </w:t>
      </w:r>
      <w:r>
        <w:rPr>
          <w:rFonts w:ascii="Calibri" w:cs="Calibri" w:eastAsia="Calibri" w:hAnsi="Calibri"/>
          <w:color w:val="666666"/>
          <w:sz w:val="22"/>
          <w:szCs w:val="22"/>
        </w:rPr>
        <w:t xml:space="preserve">|  SQL · Python · Power BI · Tableau · R  |  BSc Data Science (In Progress)</w:t>
      </w:r>
    </w:p>
    <w:p>
      <w:pPr>
        <w:pBdr>
          <w:bottom w:val="single" w:color="C9A84C" w:sz="8" w:space="1"/>
        </w:pBdr>
        <w:spacing w:before="60" w:after="60"/>
      </w:pPr>
    </w:p>
    <w:p>
      <w:pPr>
        <w:tabs>
          <w:tab w:val="left" w:pos="2300"/>
          <w:tab w:val="left" w:pos="4600"/>
          <w:tab w:val="left" w:pos="7200"/>
        </w:tabs>
        <w:spacing w:before="60" w:after="80"/>
      </w:pPr>
      <w:r>
        <w:rPr>
          <w:rFonts w:ascii="Calibri" w:cs="Calibri" w:eastAsia="Calibri" w:hAnsi="Calibri"/>
          <w:color w:val="444444"/>
          <w:sz w:val="18"/>
          <w:szCs w:val="18"/>
        </w:rPr>
        <w:t xml:space="preserve">+254 794 748 719</w:t>
      </w:r>
      <w:r>
        <w:rPr>
          <w:rFonts w:ascii="Calibri" w:cs="Calibri" w:eastAsia="Calibri" w:hAnsi="Calibri"/>
        </w:rPr>
        <w:t xml:space="preserve">	</w:t>
      </w:r>
      <w:r>
        <w:rPr>
          <w:rFonts w:ascii="Calibri" w:cs="Calibri" w:eastAsia="Calibri" w:hAnsi="Calibri"/>
          <w:color w:val="444444"/>
          <w:sz w:val="18"/>
          <w:szCs w:val="18"/>
        </w:rPr>
        <w:t xml:space="preserve">monica.w.masae@gmail.com</w:t>
      </w:r>
      <w:r>
        <w:rPr>
          <w:rFonts w:ascii="Calibri" w:cs="Calibri" w:eastAsia="Calibri" w:hAnsi="Calibri"/>
        </w:rPr>
        <w:t xml:space="preserve">	</w:t>
      </w:r>
      <w:r>
        <w:rPr>
          <w:rFonts w:ascii="Calibri" w:cs="Calibri" w:eastAsia="Calibri" w:hAnsi="Calibri"/>
          <w:color w:val="444444"/>
          <w:sz w:val="18"/>
          <w:szCs w:val="18"/>
        </w:rPr>
        <w:t xml:space="preserve">linkedin.com/in/monica-masae</w:t>
      </w:r>
      <w:r>
        <w:rPr>
          <w:rFonts w:ascii="Calibri" w:cs="Calibri" w:eastAsia="Calibri" w:hAnsi="Calibri"/>
        </w:rPr>
        <w:t xml:space="preserve">	</w:t>
      </w:r>
      <w:r>
        <w:rPr>
          <w:rFonts w:ascii="Calibri" w:cs="Calibri" w:eastAsia="Calibri" w:hAnsi="Calibri"/>
          <w:color w:val="444444"/>
          <w:sz w:val="18"/>
          <w:szCs w:val="18"/>
        </w:rPr>
        <w:t xml:space="preserve">github.com/M0nicah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gridCol w:w="720"/>
      </w:tblGrid>
      <w:tr>
        <w:tc>
          <w:tcPr>
            <w:tcW w:type="dxa" w:w="4513"/>
            <w:tcBorders>
              <w:top w:val="none" w:color="FFFFFF" w:sz="0"/>
              <w:left w:val="none" w:color="FFFFFF" w:sz="0"/>
              <w:bottom w:val="none" w:color="FFFFFF" w:sz="0"/>
              <w:right w:val="none" w:color="FFFFFF" w:sz="0"/>
            </w:tcBorders>
            <w:tcMar>
              <w:top w:type="dxa" w:w="40"/>
              <w:left w:type="dxa" w:w="0"/>
              <w:bottom w:type="dxa" w:w="40"/>
              <w:right w:type="dxa" w:w="200"/>
            </w:tcMar>
          </w:tcPr>
          <w:p>
            <w:r>
              <w:rPr>
                <w:rFonts w:ascii="Calibri" w:cs="Calibri" w:eastAsia="Calibri" w:hAnsi="Calibri"/>
                <w:b/>
                <w:bCs/>
                <w:color w:val="1B3A5C"/>
                <w:sz w:val="18"/>
                <w:szCs w:val="18"/>
              </w:rPr>
              <w:t xml:space="preserve">Nationality: </w:t>
            </w:r>
            <w:r>
              <w:rPr>
                <w:rFonts w:ascii="Calibri" w:cs="Calibri" w:eastAsia="Calibri" w:hAnsi="Calibri"/>
                <w:color w:val="444444"/>
                <w:sz w:val="18"/>
                <w:szCs w:val="18"/>
              </w:rPr>
              <w:t xml:space="preserve">Kenyan</w:t>
            </w:r>
          </w:p>
        </w:tc>
        <w:tc>
          <w:tcPr>
            <w:tcW w:type="dxa" w:w="4513"/>
            <w:tcBorders>
              <w:top w:val="none" w:color="FFFFFF" w:sz="0"/>
              <w:left w:val="none" w:color="FFFFFF" w:sz="0"/>
              <w:bottom w:val="none" w:color="FFFFFF" w:sz="0"/>
              <w:right w:val="none" w:color="FFFFFF" w:sz="0"/>
            </w:tcBorders>
            <w:tcMar>
              <w:top w:type="dxa" w:w="40"/>
              <w:left w:type="dxa" w:w="0"/>
              <w:bottom w:type="dxa" w:w="40"/>
              <w:right w:type="dxa" w:w="200"/>
            </w:tcMar>
          </w:tcPr>
          <w:p>
            <w:r>
              <w:rPr>
                <w:rFonts w:ascii="Calibri" w:cs="Calibri" w:eastAsia="Calibri" w:hAnsi="Calibri"/>
                <w:b/>
                <w:bCs/>
                <w:color w:val="1B3A5C"/>
                <w:sz w:val="18"/>
                <w:szCs w:val="18"/>
              </w:rPr>
              <w:t xml:space="preserve"/>
            </w:r>
          </w:p>
        </w:tc>
        <w:tc>
          <w:tcPr>
            <w:tcW w:type="dxa" w:w="720"/>
            <w:tcBorders>
              <w:top w:val="none" w:color="FFFFFF" w:sz="0"/>
              <w:left w:val="none" w:color="FFFFFF" w:sz="0"/>
              <w:bottom w:val="none" w:color="FFFFFF" w:sz="0"/>
              <w:right w:val="none" w:color="FFFFFF" w:sz="0"/>
            </w:tcBorders>
          </w:tcPr>
          <w:p>
            <w:r>
              <w:t xml:space="preserve"/>
            </w:r>
          </w:p>
        </w:tc>
      </w:tr>
      <w:tr>
        <w:tc>
          <w:tcPr>
            <w:tcW w:type="dxa" w:w="4513"/>
            <w:tcBorders>
              <w:top w:val="none" w:color="FFFFFF" w:sz="0"/>
              <w:left w:val="none" w:color="FFFFFF" w:sz="0"/>
              <w:bottom w:val="none" w:color="FFFFFF" w:sz="0"/>
              <w:right w:val="none" w:color="FFFFFF" w:sz="0"/>
            </w:tcBorders>
            <w:tcMar>
              <w:top w:type="dxa" w:w="40"/>
              <w:left w:type="dxa" w:w="0"/>
              <w:bottom w:type="dxa" w:w="40"/>
              <w:right w:type="dxa" w:w="200"/>
            </w:tcMar>
          </w:tcPr>
          <w:p>
            <w:r>
              <w:rPr>
                <w:rFonts w:ascii="Calibri" w:cs="Calibri" w:eastAsia="Calibri" w:hAnsi="Calibri"/>
                <w:b/>
                <w:bCs/>
                <w:color w:val="1B3A5C"/>
                <w:sz w:val="18"/>
                <w:szCs w:val="18"/>
              </w:rPr>
              <w:t xml:space="preserve">Marital Status: </w:t>
            </w:r>
            <w:r>
              <w:rPr>
                <w:rFonts w:ascii="Calibri" w:cs="Calibri" w:eastAsia="Calibri" w:hAnsi="Calibri"/>
                <w:color w:val="444444"/>
                <w:sz w:val="18"/>
                <w:szCs w:val="18"/>
              </w:rPr>
              <w:t xml:space="preserve">Single</w:t>
            </w:r>
          </w:p>
        </w:tc>
        <w:tc>
          <w:tcPr>
            <w:tcW w:type="dxa" w:w="4513"/>
            <w:tcBorders>
              <w:top w:val="none" w:color="FFFFFF" w:sz="0"/>
              <w:left w:val="none" w:color="FFFFFF" w:sz="0"/>
              <w:bottom w:val="none" w:color="FFFFFF" w:sz="0"/>
              <w:right w:val="none" w:color="FFFFFF" w:sz="0"/>
            </w:tcBorders>
            <w:tcMar>
              <w:top w:type="dxa" w:w="40"/>
              <w:left w:type="dxa" w:w="0"/>
              <w:bottom w:type="dxa" w:w="40"/>
              <w:right w:type="dxa" w:w="200"/>
            </w:tcMar>
          </w:tcPr>
          <w:p>
            <w:r>
              <w:rPr>
                <w:rFonts w:ascii="Calibri" w:cs="Calibri" w:eastAsia="Calibri" w:hAnsi="Calibri"/>
                <w:b/>
                <w:bCs/>
                <w:color w:val="1B3A5C"/>
                <w:sz w:val="18"/>
                <w:szCs w:val="18"/>
              </w:rPr>
              <w:t xml:space="preserve">Visa Status: </w:t>
            </w:r>
            <w:r>
              <w:rPr>
                <w:rFonts w:ascii="Calibri" w:cs="Calibri" w:eastAsia="Calibri" w:hAnsi="Calibri"/>
                <w:color w:val="444444"/>
                <w:sz w:val="18"/>
                <w:szCs w:val="18"/>
              </w:rPr>
              <w:t xml:space="preserve">Kenyan passport · Eligible for employer sponsorship</w:t>
            </w:r>
          </w:p>
        </w:tc>
        <w:tc>
          <w:tcPr>
            <w:tcW w:type="dxa" w:w="720"/>
            <w:tcBorders>
              <w:top w:val="none" w:color="FFFFFF" w:sz="0"/>
              <w:left w:val="none" w:color="FFFFFF" w:sz="0"/>
              <w:bottom w:val="none" w:color="FFFFFF" w:sz="0"/>
              <w:right w:val="none" w:color="FFFFFF" w:sz="0"/>
            </w:tcBorders>
          </w:tcPr>
          <w:p>
            <w:r>
              <w:t xml:space="preserve"/>
            </w:r>
          </w:p>
        </w:tc>
      </w:tr>
      <w:tr>
        <w:tc>
          <w:tcPr>
            <w:tcW w:type="dxa" w:w="4513"/>
            <w:tcBorders>
              <w:top w:val="none" w:color="FFFFFF" w:sz="0"/>
              <w:left w:val="none" w:color="FFFFFF" w:sz="0"/>
              <w:bottom w:val="none" w:color="FFFFFF" w:sz="0"/>
              <w:right w:val="none" w:color="FFFFFF" w:sz="0"/>
            </w:tcBorders>
            <w:tcMar>
              <w:top w:type="dxa" w:w="40"/>
              <w:left w:type="dxa" w:w="0"/>
              <w:bottom w:type="dxa" w:w="40"/>
              <w:right w:type="dxa" w:w="200"/>
            </w:tcMar>
          </w:tcPr>
          <w:p>
            <w:r>
              <w:rPr>
                <w:rFonts w:ascii="Calibri" w:cs="Calibri" w:eastAsia="Calibri" w:hAnsi="Calibri"/>
                <w:b/>
                <w:bCs/>
                <w:color w:val="1B3A5C"/>
                <w:sz w:val="18"/>
                <w:szCs w:val="18"/>
              </w:rPr>
              <w:t xml:space="preserve">Languages: </w:t>
            </w:r>
            <w:r>
              <w:rPr>
                <w:rFonts w:ascii="Calibri" w:cs="Calibri" w:eastAsia="Calibri" w:hAnsi="Calibri"/>
                <w:color w:val="444444"/>
                <w:sz w:val="18"/>
                <w:szCs w:val="18"/>
              </w:rPr>
              <w:t xml:space="preserve">English (Fluent) · Swahili (Native)</w:t>
            </w:r>
          </w:p>
        </w:tc>
        <w:tc>
          <w:tcPr>
            <w:tcW w:type="dxa" w:w="4513"/>
            <w:tcBorders>
              <w:top w:val="none" w:color="FFFFFF" w:sz="0"/>
              <w:left w:val="none" w:color="FFFFFF" w:sz="0"/>
              <w:bottom w:val="none" w:color="FFFFFF" w:sz="0"/>
              <w:right w:val="none" w:color="FFFFFF" w:sz="0"/>
            </w:tcBorders>
            <w:tcMar>
              <w:top w:type="dxa" w:w="40"/>
              <w:left w:type="dxa" w:w="0"/>
              <w:bottom w:type="dxa" w:w="40"/>
              <w:right w:type="dxa" w:w="200"/>
            </w:tcMar>
          </w:tcPr>
          <w:p>
            <w:r>
              <w:rPr>
                <w:rFonts w:ascii="Calibri" w:cs="Calibri" w:eastAsia="Calibri" w:hAnsi="Calibri"/>
                <w:b/>
                <w:bCs/>
                <w:color w:val="1B3A5C"/>
                <w:sz w:val="18"/>
                <w:szCs w:val="18"/>
              </w:rPr>
              <w:t xml:space="preserve">Location: </w:t>
            </w:r>
            <w:r>
              <w:rPr>
                <w:rFonts w:ascii="Calibri" w:cs="Calibri" w:eastAsia="Calibri" w:hAnsi="Calibri"/>
                <w:color w:val="444444"/>
                <w:sz w:val="18"/>
                <w:szCs w:val="18"/>
              </w:rPr>
              <w:t xml:space="preserve">Nairobi, Kenya (Open to relocation · UAE / GCC preferred)</w:t>
            </w:r>
          </w:p>
        </w:tc>
        <w:tc>
          <w:tcPr>
            <w:tcW w:type="dxa" w:w="720"/>
            <w:tcBorders>
              <w:top w:val="none" w:color="FFFFFF" w:sz="0"/>
              <w:left w:val="none" w:color="FFFFFF" w:sz="0"/>
              <w:bottom w:val="none" w:color="FFFFFF" w:sz="0"/>
              <w:right w:val="none" w:color="FFFFFF" w:sz="0"/>
            </w:tcBorders>
          </w:tcPr>
          <w:p>
            <w:r>
              <w:t xml:space="preserve"/>
            </w:r>
          </w:p>
        </w:tc>
      </w:tr>
    </w:tbl>
    <w:p>
      <w:pPr>
        <w:pBdr>
          <w:bottom w:val="single" w:color="C9A84C" w:sz="8" w:space="1"/>
        </w:pBdr>
        <w:spacing w:before="60" w:after="60"/>
      </w:pPr>
    </w:p>
    <w:p>
      <w:pPr>
        <w:spacing w:before="220" w:after="40"/>
      </w:pPr>
      <w:r>
        <w:rPr>
          <w:rFonts w:ascii="Calibri" w:cs="Calibri" w:eastAsia="Calibri" w:hAnsi="Calibri"/>
          <w:b/>
          <w:bCs/>
          <w:color w:val="1B3A5C"/>
          <w:spacing w:val="40"/>
          <w:sz w:val="24"/>
          <w:szCs w:val="24"/>
        </w:rPr>
        <w:t xml:space="preserve">PROFESSIONAL SUMMARY</w:t>
      </w:r>
    </w:p>
    <w:p>
      <w:pPr>
        <w:pBdr>
          <w:bottom w:val="single" w:color="1B3A5C" w:sz="8" w:space="1"/>
        </w:pBdr>
        <w:spacing w:before="60" w:after="60"/>
      </w:pPr>
    </w:p>
    <w:p>
      <w:pPr>
        <w:spacing w:before="80" w:after="60"/>
      </w:pPr>
      <w:r>
        <w:rPr>
          <w:rFonts w:ascii="Calibri" w:cs="Calibri" w:eastAsia="Calibri" w:hAnsi="Calibri"/>
          <w:color w:val="444444"/>
          <w:sz w:val="19"/>
          <w:szCs w:val="19"/>
        </w:rPr>
        <w:t xml:space="preserve">Data analyst with hands-on experience in financial analytics, transaction reconciliation, and business intelligence, gained at a Kenyan fintech startup. Proficient in SQL, Python, R, and the full Microsoft BI stack including Power BI, as well as Tableau and Looker. Experienced in building executive dashboards, automating reporting workflows, performing variance and trend analysis, and translating complex data into actionable insights for non-technical stakeholders. Currently pursuing a BSc in Data Science. Self-starter with a proven ability to own data domains, collaborate cross-functionally, and deliver measurable business value from raw data.</w:t>
      </w:r>
    </w:p>
    <w:p>
      <w:pPr>
        <w:spacing w:before="220" w:after="40"/>
      </w:pPr>
      <w:r>
        <w:rPr>
          <w:rFonts w:ascii="Calibri" w:cs="Calibri" w:eastAsia="Calibri" w:hAnsi="Calibri"/>
          <w:b/>
          <w:bCs/>
          <w:color w:val="1B3A5C"/>
          <w:spacing w:val="40"/>
          <w:sz w:val="24"/>
          <w:szCs w:val="24"/>
        </w:rPr>
        <w:t xml:space="preserve">TECHNICAL SKILLS</w:t>
      </w:r>
    </w:p>
    <w:p>
      <w:pPr>
        <w:pBdr>
          <w:bottom w:val="single" w:color="1B3A5C" w:sz="8" w:space="1"/>
        </w:pBdr>
        <w:spacing w:before="60"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none" w:color="FFFFFF" w:sz="0"/>
              <w:left w:val="none" w:color="FFFFFF" w:sz="0"/>
              <w:bottom w:val="none" w:color="FFFFFF" w:sz="0"/>
              <w:right w:val="none" w:color="FFFFFF" w:sz="0"/>
            </w:tcBorders>
            <w:shd w:fill="EAF0F7" w:val="clear"/>
            <w:tcMar>
              <w:top w:type="dxa" w:w="80"/>
              <w:left w:type="dxa" w:w="140"/>
              <w:bottom w:type="dxa" w:w="80"/>
              <w:right w:type="dxa" w:w="100"/>
            </w:tcMar>
            <w:vAlign w:val="center"/>
          </w:tcPr>
          <w:p>
            <w:r>
              <w:rPr>
                <w:rFonts w:ascii="Calibri" w:cs="Calibri" w:eastAsia="Calibri" w:hAnsi="Calibri"/>
                <w:b/>
                <w:bCs/>
                <w:color w:val="1B3A5C"/>
                <w:sz w:val="18"/>
                <w:szCs w:val="18"/>
              </w:rPr>
              <w:t xml:space="preserve">Databases</w:t>
            </w:r>
          </w:p>
        </w:tc>
        <w:tc>
          <w:tcPr>
            <w:tcW w:type="dxa" w:w="7026"/>
            <w:tcBorders>
              <w:top w:val="none" w:color="FFFFFF" w:sz="0"/>
              <w:left w:val="none" w:color="FFFFFF" w:sz="0"/>
              <w:bottom w:val="none" w:color="FFFFFF" w:sz="0"/>
              <w:right w:val="none" w:color="FFFFFF" w:sz="0"/>
            </w:tcBorders>
            <w:tcMar>
              <w:top w:type="dxa" w:w="80"/>
              <w:left w:type="dxa" w:w="140"/>
              <w:bottom w:type="dxa" w:w="80"/>
              <w:right w:type="dxa" w:w="80"/>
            </w:tcMar>
          </w:tcPr>
          <w:p>
            <w:r>
              <w:rPr>
                <w:rFonts w:ascii="Calibri" w:cs="Calibri" w:eastAsia="Calibri" w:hAnsi="Calibri"/>
                <w:color w:val="444444"/>
                <w:sz w:val="18"/>
                <w:szCs w:val="18"/>
              </w:rPr>
              <w:t xml:space="preserve">PostgreSQL, MySQL — complex queries, JOINs, CTEs, window functions, indexing, query optimisation</w:t>
            </w:r>
          </w:p>
        </w:tc>
      </w:tr>
      <w:tr>
        <w:tc>
          <w:tcPr>
            <w:tcW w:type="dxa" w:w="2000"/>
            <w:tcBorders>
              <w:top w:val="none" w:color="FFFFFF" w:sz="0"/>
              <w:left w:val="none" w:color="FFFFFF" w:sz="0"/>
              <w:bottom w:val="none" w:color="FFFFFF" w:sz="0"/>
              <w:right w:val="none" w:color="FFFFFF" w:sz="0"/>
            </w:tcBorders>
            <w:shd w:fill="EAF0F7" w:val="clear"/>
            <w:tcMar>
              <w:top w:type="dxa" w:w="80"/>
              <w:left w:type="dxa" w:w="140"/>
              <w:bottom w:type="dxa" w:w="80"/>
              <w:right w:type="dxa" w:w="100"/>
            </w:tcMar>
            <w:vAlign w:val="center"/>
          </w:tcPr>
          <w:p>
            <w:r>
              <w:rPr>
                <w:rFonts w:ascii="Calibri" w:cs="Calibri" w:eastAsia="Calibri" w:hAnsi="Calibri"/>
                <w:b/>
                <w:bCs/>
                <w:color w:val="1B3A5C"/>
                <w:sz w:val="18"/>
                <w:szCs w:val="18"/>
              </w:rPr>
              <w:t xml:space="preserve">Languages</w:t>
            </w:r>
          </w:p>
        </w:tc>
        <w:tc>
          <w:tcPr>
            <w:tcW w:type="dxa" w:w="7026"/>
            <w:tcBorders>
              <w:top w:val="none" w:color="FFFFFF" w:sz="0"/>
              <w:left w:val="none" w:color="FFFFFF" w:sz="0"/>
              <w:bottom w:val="none" w:color="FFFFFF" w:sz="0"/>
              <w:right w:val="none" w:color="FFFFFF" w:sz="0"/>
            </w:tcBorders>
            <w:tcMar>
              <w:top w:type="dxa" w:w="80"/>
              <w:left w:type="dxa" w:w="140"/>
              <w:bottom w:type="dxa" w:w="80"/>
              <w:right w:type="dxa" w:w="80"/>
            </w:tcMar>
          </w:tcPr>
          <w:p>
            <w:r>
              <w:rPr>
                <w:rFonts w:ascii="Calibri" w:cs="Calibri" w:eastAsia="Calibri" w:hAnsi="Calibri"/>
                <w:color w:val="444444"/>
                <w:sz w:val="18"/>
                <w:szCs w:val="18"/>
              </w:rPr>
              <w:t xml:space="preserve">SQL (advanced) · Python (Pandas, NumPy, Scikit-learn) · R (dplyr, tidyr, ggplot2)</w:t>
            </w:r>
          </w:p>
        </w:tc>
      </w:tr>
      <w:tr>
        <w:tc>
          <w:tcPr>
            <w:tcW w:type="dxa" w:w="2000"/>
            <w:tcBorders>
              <w:top w:val="none" w:color="FFFFFF" w:sz="0"/>
              <w:left w:val="none" w:color="FFFFFF" w:sz="0"/>
              <w:bottom w:val="none" w:color="FFFFFF" w:sz="0"/>
              <w:right w:val="none" w:color="FFFFFF" w:sz="0"/>
            </w:tcBorders>
            <w:shd w:fill="EAF0F7" w:val="clear"/>
            <w:tcMar>
              <w:top w:type="dxa" w:w="80"/>
              <w:left w:type="dxa" w:w="140"/>
              <w:bottom w:type="dxa" w:w="80"/>
              <w:right w:type="dxa" w:w="100"/>
            </w:tcMar>
            <w:vAlign w:val="center"/>
          </w:tcPr>
          <w:p>
            <w:r>
              <w:rPr>
                <w:rFonts w:ascii="Calibri" w:cs="Calibri" w:eastAsia="Calibri" w:hAnsi="Calibri"/>
                <w:b/>
                <w:bCs/>
                <w:color w:val="1B3A5C"/>
                <w:sz w:val="18"/>
                <w:szCs w:val="18"/>
              </w:rPr>
              <w:t xml:space="preserve">BI &amp; Viz</w:t>
            </w:r>
          </w:p>
        </w:tc>
        <w:tc>
          <w:tcPr>
            <w:tcW w:type="dxa" w:w="7026"/>
            <w:tcBorders>
              <w:top w:val="none" w:color="FFFFFF" w:sz="0"/>
              <w:left w:val="none" w:color="FFFFFF" w:sz="0"/>
              <w:bottom w:val="none" w:color="FFFFFF" w:sz="0"/>
              <w:right w:val="none" w:color="FFFFFF" w:sz="0"/>
            </w:tcBorders>
            <w:tcMar>
              <w:top w:type="dxa" w:w="80"/>
              <w:left w:type="dxa" w:w="140"/>
              <w:bottom w:type="dxa" w:w="80"/>
              <w:right w:type="dxa" w:w="80"/>
            </w:tcMar>
          </w:tcPr>
          <w:p>
            <w:r>
              <w:rPr>
                <w:rFonts w:ascii="Calibri" w:cs="Calibri" w:eastAsia="Calibri" w:hAnsi="Calibri"/>
                <w:color w:val="444444"/>
                <w:sz w:val="18"/>
                <w:szCs w:val="18"/>
              </w:rPr>
              <w:t xml:space="preserve">Power BI · Tableau · Looker · R Shiny · Matplotlib · Seaborn · Plotly</w:t>
            </w:r>
          </w:p>
        </w:tc>
      </w:tr>
      <w:tr>
        <w:tc>
          <w:tcPr>
            <w:tcW w:type="dxa" w:w="2000"/>
            <w:tcBorders>
              <w:top w:val="none" w:color="FFFFFF" w:sz="0"/>
              <w:left w:val="none" w:color="FFFFFF" w:sz="0"/>
              <w:bottom w:val="none" w:color="FFFFFF" w:sz="0"/>
              <w:right w:val="none" w:color="FFFFFF" w:sz="0"/>
            </w:tcBorders>
            <w:shd w:fill="EAF0F7" w:val="clear"/>
            <w:tcMar>
              <w:top w:type="dxa" w:w="80"/>
              <w:left w:type="dxa" w:w="140"/>
              <w:bottom w:type="dxa" w:w="80"/>
              <w:right w:type="dxa" w:w="100"/>
            </w:tcMar>
            <w:vAlign w:val="center"/>
          </w:tcPr>
          <w:p>
            <w:r>
              <w:rPr>
                <w:rFonts w:ascii="Calibri" w:cs="Calibri" w:eastAsia="Calibri" w:hAnsi="Calibri"/>
                <w:b/>
                <w:bCs/>
                <w:color w:val="1B3A5C"/>
                <w:sz w:val="18"/>
                <w:szCs w:val="18"/>
              </w:rPr>
              <w:t xml:space="preserve">Spreadsheets</w:t>
            </w:r>
          </w:p>
        </w:tc>
        <w:tc>
          <w:tcPr>
            <w:tcW w:type="dxa" w:w="7026"/>
            <w:tcBorders>
              <w:top w:val="none" w:color="FFFFFF" w:sz="0"/>
              <w:left w:val="none" w:color="FFFFFF" w:sz="0"/>
              <w:bottom w:val="none" w:color="FFFFFF" w:sz="0"/>
              <w:right w:val="none" w:color="FFFFFF" w:sz="0"/>
            </w:tcBorders>
            <w:tcMar>
              <w:top w:type="dxa" w:w="80"/>
              <w:left w:type="dxa" w:w="140"/>
              <w:bottom w:type="dxa" w:w="80"/>
              <w:right w:type="dxa" w:w="80"/>
            </w:tcMar>
          </w:tcPr>
          <w:p>
            <w:r>
              <w:rPr>
                <w:rFonts w:ascii="Calibri" w:cs="Calibri" w:eastAsia="Calibri" w:hAnsi="Calibri"/>
                <w:color w:val="444444"/>
                <w:sz w:val="18"/>
                <w:szCs w:val="18"/>
              </w:rPr>
              <w:t xml:space="preserve">Excel — PivotTables, Power Query, VLOOKUP/XLOOKUP, advanced formulas, automation</w:t>
            </w:r>
          </w:p>
        </w:tc>
      </w:tr>
      <w:tr>
        <w:tc>
          <w:tcPr>
            <w:tcW w:type="dxa" w:w="2000"/>
            <w:tcBorders>
              <w:top w:val="none" w:color="FFFFFF" w:sz="0"/>
              <w:left w:val="none" w:color="FFFFFF" w:sz="0"/>
              <w:bottom w:val="none" w:color="FFFFFF" w:sz="0"/>
              <w:right w:val="none" w:color="FFFFFF" w:sz="0"/>
            </w:tcBorders>
            <w:shd w:fill="EAF0F7" w:val="clear"/>
            <w:tcMar>
              <w:top w:type="dxa" w:w="80"/>
              <w:left w:type="dxa" w:w="140"/>
              <w:bottom w:type="dxa" w:w="80"/>
              <w:right w:type="dxa" w:w="100"/>
            </w:tcMar>
            <w:vAlign w:val="center"/>
          </w:tcPr>
          <w:p>
            <w:r>
              <w:rPr>
                <w:rFonts w:ascii="Calibri" w:cs="Calibri" w:eastAsia="Calibri" w:hAnsi="Calibri"/>
                <w:b/>
                <w:bCs/>
                <w:color w:val="1B3A5C"/>
                <w:sz w:val="18"/>
                <w:szCs w:val="18"/>
              </w:rPr>
              <w:t xml:space="preserve">Analytics</w:t>
            </w:r>
          </w:p>
        </w:tc>
        <w:tc>
          <w:tcPr>
            <w:tcW w:type="dxa" w:w="7026"/>
            <w:tcBorders>
              <w:top w:val="none" w:color="FFFFFF" w:sz="0"/>
              <w:left w:val="none" w:color="FFFFFF" w:sz="0"/>
              <w:bottom w:val="none" w:color="FFFFFF" w:sz="0"/>
              <w:right w:val="none" w:color="FFFFFF" w:sz="0"/>
            </w:tcBorders>
            <w:tcMar>
              <w:top w:type="dxa" w:w="80"/>
              <w:left w:type="dxa" w:w="140"/>
              <w:bottom w:type="dxa" w:w="80"/>
              <w:right w:type="dxa" w:w="80"/>
            </w:tcMar>
          </w:tcPr>
          <w:p>
            <w:r>
              <w:rPr>
                <w:rFonts w:ascii="Calibri" w:cs="Calibri" w:eastAsia="Calibri" w:hAnsi="Calibri"/>
                <w:color w:val="444444"/>
                <w:sz w:val="18"/>
                <w:szCs w:val="18"/>
              </w:rPr>
              <w:t xml:space="preserve">Financial analytics · KPI frameworks · Trend analysis · Statistical analysis · ETL</w:t>
            </w:r>
          </w:p>
        </w:tc>
      </w:tr>
      <w:tr>
        <w:tc>
          <w:tcPr>
            <w:tcW w:type="dxa" w:w="2000"/>
            <w:tcBorders>
              <w:top w:val="none" w:color="FFFFFF" w:sz="0"/>
              <w:left w:val="none" w:color="FFFFFF" w:sz="0"/>
              <w:bottom w:val="none" w:color="FFFFFF" w:sz="0"/>
              <w:right w:val="none" w:color="FFFFFF" w:sz="0"/>
            </w:tcBorders>
            <w:shd w:fill="EAF0F7" w:val="clear"/>
            <w:tcMar>
              <w:top w:type="dxa" w:w="80"/>
              <w:left w:type="dxa" w:w="140"/>
              <w:bottom w:type="dxa" w:w="80"/>
              <w:right w:type="dxa" w:w="100"/>
            </w:tcMar>
            <w:vAlign w:val="center"/>
          </w:tcPr>
          <w:p>
            <w:r>
              <w:rPr>
                <w:rFonts w:ascii="Calibri" w:cs="Calibri" w:eastAsia="Calibri" w:hAnsi="Calibri"/>
                <w:b/>
                <w:bCs/>
                <w:color w:val="1B3A5C"/>
                <w:sz w:val="18"/>
                <w:szCs w:val="18"/>
              </w:rPr>
              <w:t xml:space="preserve">Dev Tools</w:t>
            </w:r>
          </w:p>
        </w:tc>
        <w:tc>
          <w:tcPr>
            <w:tcW w:type="dxa" w:w="7026"/>
            <w:tcBorders>
              <w:top w:val="none" w:color="FFFFFF" w:sz="0"/>
              <w:left w:val="none" w:color="FFFFFF" w:sz="0"/>
              <w:bottom w:val="none" w:color="FFFFFF" w:sz="0"/>
              <w:right w:val="none" w:color="FFFFFF" w:sz="0"/>
            </w:tcBorders>
            <w:tcMar>
              <w:top w:type="dxa" w:w="80"/>
              <w:left w:type="dxa" w:w="140"/>
              <w:bottom w:type="dxa" w:w="80"/>
              <w:right w:type="dxa" w:w="80"/>
            </w:tcMar>
          </w:tcPr>
          <w:p>
            <w:r>
              <w:rPr>
                <w:rFonts w:ascii="Calibri" w:cs="Calibri" w:eastAsia="Calibri" w:hAnsi="Calibri"/>
                <w:color w:val="444444"/>
                <w:sz w:val="18"/>
                <w:szCs w:val="18"/>
              </w:rPr>
              <w:t xml:space="preserve">Git / GitHub · Jupyter Notebook · VS Code · Streamlit · Data pipeline design</w:t>
            </w:r>
          </w:p>
        </w:tc>
      </w:tr>
    </w:tbl>
    <w:p>
      <w:pPr>
        <w:spacing w:before="220" w:after="40"/>
      </w:pPr>
      <w:r>
        <w:rPr>
          <w:rFonts w:ascii="Calibri" w:cs="Calibri" w:eastAsia="Calibri" w:hAnsi="Calibri"/>
          <w:b/>
          <w:bCs/>
          <w:color w:val="1B3A5C"/>
          <w:spacing w:val="40"/>
          <w:sz w:val="24"/>
          <w:szCs w:val="24"/>
        </w:rPr>
        <w:t xml:space="preserve">PROFESSIONAL EXPERIENCE</w:t>
      </w:r>
    </w:p>
    <w:p>
      <w:pPr>
        <w:pBdr>
          <w:bottom w:val="single" w:color="1B3A5C" w:sz="8" w:space="1"/>
        </w:pBdr>
        <w:spacing w:before="60" w:after="60"/>
      </w:pPr>
    </w:p>
    <w:p>
      <w:pPr>
        <w:tabs>
          <w:tab w:val="right" w:pos="9026"/>
        </w:tabs>
        <w:spacing w:before="160" w:after="30"/>
      </w:pPr>
      <w:r>
        <w:rPr>
          <w:rFonts w:ascii="Calibri" w:cs="Calibri" w:eastAsia="Calibri" w:hAnsi="Calibri"/>
          <w:b/>
          <w:bCs/>
          <w:color w:val="1B3A5C"/>
          <w:sz w:val="21"/>
          <w:szCs w:val="21"/>
        </w:rPr>
        <w:t xml:space="preserve">Data Analyst Intern</w:t>
      </w:r>
      <w:r>
        <w:rPr>
          <w:rFonts w:ascii="Calibri" w:cs="Calibri" w:eastAsia="Calibri" w:hAnsi="Calibri"/>
          <w:color w:val="C9A84C"/>
          <w:sz w:val="20"/>
          <w:szCs w:val="20"/>
        </w:rPr>
        <w:t xml:space="preserve">  |  </w:t>
      </w:r>
      <w:r>
        <w:rPr>
          <w:rFonts w:ascii="Calibri" w:cs="Calibri" w:eastAsia="Calibri" w:hAnsi="Calibri"/>
          <w:i/>
          <w:iCs/>
          <w:color w:val="444444"/>
          <w:sz w:val="20"/>
          <w:szCs w:val="20"/>
        </w:rPr>
        <w:t xml:space="preserve">DCASH Africa  ·  Kiambu, Kenya</w:t>
      </w:r>
      <w:r>
        <w:rPr>
          <w:rFonts w:ascii="Calibri" w:cs="Calibri" w:eastAsia="Calibri" w:hAnsi="Calibri"/>
          <w:sz w:val="20"/>
          <w:szCs w:val="20"/>
        </w:rPr>
        <w:t xml:space="preserve">	</w:t>
      </w:r>
      <w:r>
        <w:rPr>
          <w:rFonts w:ascii="Calibri" w:cs="Calibri" w:eastAsia="Calibri" w:hAnsi="Calibri"/>
          <w:b/>
          <w:bCs/>
          <w:color w:val="C9A84C"/>
          <w:sz w:val="19"/>
          <w:szCs w:val="19"/>
        </w:rPr>
        <w:t xml:space="preserve">2025</w:t>
      </w:r>
    </w:p>
    <w:p>
      <w:pPr>
        <w:pStyle w:val="ListParagraph"/>
        <w:numPr>
          <w:ilvl w:val="0"/>
          <w:numId w:val="2"/>
        </w:numPr>
        <w:spacing w:before="40" w:after="40"/>
      </w:pPr>
      <w:r>
        <w:rPr>
          <w:rFonts w:ascii="Calibri" w:cs="Calibri" w:eastAsia="Calibri" w:hAnsi="Calibri"/>
          <w:color w:val="444444"/>
          <w:sz w:val="19"/>
          <w:szCs w:val="19"/>
        </w:rPr>
        <w:t xml:space="preserve">Queried transaction databases using SQL to identify trends in deposit and withdrawal volumes, directly supporting daily liquidity planning and cash flow optimisation for management</w:t>
      </w:r>
    </w:p>
    <w:p>
      <w:pPr>
        <w:pStyle w:val="ListParagraph"/>
        <w:numPr>
          <w:ilvl w:val="0"/>
          <w:numId w:val="2"/>
        </w:numPr>
        <w:spacing w:before="40" w:after="40"/>
      </w:pPr>
      <w:r>
        <w:rPr>
          <w:rFonts w:ascii="Calibri" w:cs="Calibri" w:eastAsia="Calibri" w:hAnsi="Calibri"/>
          <w:color w:val="444444"/>
          <w:sz w:val="19"/>
          <w:szCs w:val="19"/>
        </w:rPr>
        <w:t xml:space="preserve">Performed daily transaction reconciliation between M-Pesa and Airtel Money statements and internal ledgers, maintaining 100% accuracy in user balance updates and resolving inconsistencies within 24 hours</w:t>
      </w:r>
    </w:p>
    <w:p>
      <w:pPr>
        <w:pStyle w:val="ListParagraph"/>
        <w:numPr>
          <w:ilvl w:val="0"/>
          <w:numId w:val="2"/>
        </w:numPr>
        <w:spacing w:before="40" w:after="40"/>
      </w:pPr>
      <w:r>
        <w:rPr>
          <w:rFonts w:ascii="Calibri" w:cs="Calibri" w:eastAsia="Calibri" w:hAnsi="Calibri"/>
          <w:color w:val="444444"/>
          <w:sz w:val="19"/>
          <w:szCs w:val="19"/>
        </w:rPr>
        <w:t xml:space="preserve">Automated weekly performance reports using Excel and Python, reducing manual data entry time and accelerating stakeholder decision-making cycles</w:t>
      </w:r>
    </w:p>
    <w:p>
      <w:pPr>
        <w:pStyle w:val="ListParagraph"/>
        <w:numPr>
          <w:ilvl w:val="0"/>
          <w:numId w:val="2"/>
        </w:numPr>
        <w:spacing w:before="40" w:after="40"/>
      </w:pPr>
      <w:r>
        <w:rPr>
          <w:rFonts w:ascii="Calibri" w:cs="Calibri" w:eastAsia="Calibri" w:hAnsi="Calibri"/>
          <w:color w:val="444444"/>
          <w:sz w:val="19"/>
          <w:szCs w:val="19"/>
        </w:rPr>
        <w:t xml:space="preserve">Analysed USD/KES exchange rate fluctuations and spread margins to provide data-driven recommendations for optimising the platform's cross-border pricing strategy</w:t>
      </w:r>
    </w:p>
    <w:p>
      <w:pPr>
        <w:tabs>
          <w:tab w:val="right" w:pos="9026"/>
        </w:tabs>
        <w:spacing w:before="160" w:after="30"/>
      </w:pPr>
      <w:r>
        <w:rPr>
          <w:rFonts w:ascii="Calibri" w:cs="Calibri" w:eastAsia="Calibri" w:hAnsi="Calibri"/>
          <w:b/>
          <w:bCs/>
          <w:color w:val="1B3A5C"/>
          <w:sz w:val="21"/>
          <w:szCs w:val="21"/>
        </w:rPr>
        <w:t xml:space="preserve">Technical Writer &amp; Peer Reviewer</w:t>
      </w:r>
      <w:r>
        <w:rPr>
          <w:rFonts w:ascii="Calibri" w:cs="Calibri" w:eastAsia="Calibri" w:hAnsi="Calibri"/>
          <w:color w:val="C9A84C"/>
          <w:sz w:val="20"/>
          <w:szCs w:val="20"/>
        </w:rPr>
        <w:t xml:space="preserve">  |  </w:t>
      </w:r>
      <w:r>
        <w:rPr>
          <w:rFonts w:ascii="Calibri" w:cs="Calibri" w:eastAsia="Calibri" w:hAnsi="Calibri"/>
          <w:i/>
          <w:iCs/>
          <w:color w:val="444444"/>
          <w:sz w:val="20"/>
          <w:szCs w:val="20"/>
        </w:rPr>
        <w:t xml:space="preserve">Section.io  ·  Remote</w:t>
      </w:r>
      <w:r>
        <w:rPr>
          <w:rFonts w:ascii="Calibri" w:cs="Calibri" w:eastAsia="Calibri" w:hAnsi="Calibri"/>
          <w:sz w:val="20"/>
          <w:szCs w:val="20"/>
        </w:rPr>
        <w:t xml:space="preserve">	</w:t>
      </w:r>
      <w:r>
        <w:rPr>
          <w:rFonts w:ascii="Calibri" w:cs="Calibri" w:eastAsia="Calibri" w:hAnsi="Calibri"/>
          <w:b/>
          <w:bCs/>
          <w:color w:val="C9A84C"/>
          <w:sz w:val="19"/>
          <w:szCs w:val="19"/>
        </w:rPr>
        <w:t xml:space="preserve">2021 – 2023</w:t>
      </w:r>
    </w:p>
    <w:p>
      <w:pPr>
        <w:pStyle w:val="ListParagraph"/>
        <w:numPr>
          <w:ilvl w:val="0"/>
          <w:numId w:val="2"/>
        </w:numPr>
        <w:spacing w:before="40" w:after="40"/>
      </w:pPr>
      <w:r>
        <w:rPr>
          <w:rFonts w:ascii="Calibri" w:cs="Calibri" w:eastAsia="Calibri" w:hAnsi="Calibri"/>
          <w:color w:val="444444"/>
          <w:sz w:val="19"/>
          <w:szCs w:val="19"/>
        </w:rPr>
        <w:t xml:space="preserve">Authored technical articles on data analytics and technology topics reaching 30,000+ readers, demonstrating strong written communication skills for non-technical audiences</w:t>
      </w:r>
    </w:p>
    <w:p>
      <w:pPr>
        <w:pStyle w:val="ListParagraph"/>
        <w:numPr>
          <w:ilvl w:val="0"/>
          <w:numId w:val="2"/>
        </w:numPr>
        <w:spacing w:before="40" w:after="40"/>
      </w:pPr>
      <w:r>
        <w:rPr>
          <w:rFonts w:ascii="Calibri" w:cs="Calibri" w:eastAsia="Calibri" w:hAnsi="Calibri"/>
          <w:color w:val="444444"/>
          <w:sz w:val="19"/>
          <w:szCs w:val="19"/>
        </w:rPr>
        <w:t xml:space="preserve">Translated complex technical concepts into clear, accessible insights — the same skill applied daily when presenting data findings to non-technical stakeholders</w:t>
      </w:r>
    </w:p>
    <w:p>
      <w:pPr>
        <w:spacing w:before="220" w:after="40"/>
      </w:pPr>
      <w:r>
        <w:rPr>
          <w:rFonts w:ascii="Calibri" w:cs="Calibri" w:eastAsia="Calibri" w:hAnsi="Calibri"/>
          <w:b/>
          <w:bCs/>
          <w:color w:val="1B3A5C"/>
          <w:spacing w:val="40"/>
          <w:sz w:val="24"/>
          <w:szCs w:val="24"/>
        </w:rPr>
        <w:t xml:space="preserve">KEY ANALYTICS PROJECTS</w:t>
      </w:r>
    </w:p>
    <w:p>
      <w:pPr>
        <w:pBdr>
          <w:bottom w:val="single" w:color="1B3A5C" w:sz="8" w:space="1"/>
        </w:pBdr>
        <w:spacing w:before="60" w:after="60"/>
      </w:pPr>
    </w:p>
    <w:p>
      <w:pPr>
        <w:spacing w:before="140" w:after="30"/>
      </w:pPr>
      <w:r>
        <w:rPr>
          <w:rFonts w:ascii="Calibri" w:cs="Calibri" w:eastAsia="Calibri" w:hAnsi="Calibri"/>
          <w:b/>
          <w:bCs/>
          <w:color w:val="1B3A5C"/>
          <w:sz w:val="20"/>
          <w:szCs w:val="20"/>
        </w:rPr>
        <w:t xml:space="preserve">Bike Store Revenue Analytics &amp; Financial Reporting</w:t>
      </w:r>
      <w:r>
        <w:rPr>
          <w:rFonts w:ascii="Calibri" w:cs="Calibri" w:eastAsia="Calibri" w:hAnsi="Calibri"/>
          <w:i/>
          <w:iCs/>
          <w:color w:val="C9A84C"/>
          <w:sz w:val="18"/>
          <w:szCs w:val="18"/>
        </w:rPr>
        <w:t xml:space="preserve">  —  SQL · Excel</w:t>
      </w:r>
    </w:p>
    <w:p>
      <w:pPr>
        <w:pStyle w:val="ListParagraph"/>
        <w:numPr>
          <w:ilvl w:val="0"/>
          <w:numId w:val="2"/>
        </w:numPr>
        <w:spacing w:before="40" w:after="40"/>
      </w:pPr>
      <w:r>
        <w:rPr>
          <w:rFonts w:ascii="Calibri" w:cs="Calibri" w:eastAsia="Calibri" w:hAnsi="Calibri"/>
          <w:color w:val="444444"/>
          <w:sz w:val="19"/>
          <w:szCs w:val="19"/>
        </w:rPr>
        <w:t xml:space="preserve">Extracted and analysed multi-table relational data using SQL to track revenue trends, customer demographics, and product performance</w:t>
      </w:r>
    </w:p>
    <w:p>
      <w:pPr>
        <w:pStyle w:val="ListParagraph"/>
        <w:numPr>
          <w:ilvl w:val="0"/>
          <w:numId w:val="2"/>
        </w:numPr>
        <w:spacing w:before="40" w:after="40"/>
      </w:pPr>
      <w:r>
        <w:rPr>
          <w:rFonts w:ascii="Calibri" w:cs="Calibri" w:eastAsia="Calibri" w:hAnsi="Calibri"/>
          <w:color w:val="444444"/>
          <w:sz w:val="19"/>
          <w:szCs w:val="19"/>
        </w:rPr>
        <w:t xml:space="preserve">Calculated monthly growth rates and variance analysis using CTEs, window functions, and aggregate functions; delivered board-ready reports with optimised queries</w:t>
      </w:r>
    </w:p>
    <w:p>
      <w:pPr>
        <w:spacing w:before="140" w:after="30"/>
      </w:pPr>
      <w:r>
        <w:rPr>
          <w:rFonts w:ascii="Calibri" w:cs="Calibri" w:eastAsia="Calibri" w:hAnsi="Calibri"/>
          <w:b/>
          <w:bCs/>
          <w:color w:val="1B3A5C"/>
          <w:sz w:val="20"/>
          <w:szCs w:val="20"/>
        </w:rPr>
        <w:t xml:space="preserve">Superstore Financial Dashboard &amp; Profitability Analysis</w:t>
      </w:r>
      <w:r>
        <w:rPr>
          <w:rFonts w:ascii="Calibri" w:cs="Calibri" w:eastAsia="Calibri" w:hAnsi="Calibri"/>
          <w:i/>
          <w:iCs/>
          <w:color w:val="C9A84C"/>
          <w:sz w:val="18"/>
          <w:szCs w:val="18"/>
        </w:rPr>
        <w:t xml:space="preserve">  —  R · R Shiny</w:t>
      </w:r>
    </w:p>
    <w:p>
      <w:pPr>
        <w:pStyle w:val="ListParagraph"/>
        <w:numPr>
          <w:ilvl w:val="0"/>
          <w:numId w:val="2"/>
        </w:numPr>
        <w:spacing w:before="40" w:after="40"/>
      </w:pPr>
      <w:r>
        <w:rPr>
          <w:rFonts w:ascii="Calibri" w:cs="Calibri" w:eastAsia="Calibri" w:hAnsi="Calibri"/>
          <w:color w:val="444444"/>
          <w:sz w:val="19"/>
          <w:szCs w:val="19"/>
        </w:rPr>
        <w:t xml:space="preserve">Performed data modelling, cleaning, and profitability analysis using R (dplyr, tidyr); built an interactive BI dashboard enabling self-service filtering and year-over-year trend analysis for leadership</w:t>
      </w:r>
    </w:p>
    <w:p>
      <w:pPr>
        <w:spacing w:before="140" w:after="30"/>
      </w:pPr>
      <w:r>
        <w:rPr>
          <w:rFonts w:ascii="Calibri" w:cs="Calibri" w:eastAsia="Calibri" w:hAnsi="Calibri"/>
          <w:b/>
          <w:bCs/>
          <w:color w:val="1B3A5C"/>
          <w:sz w:val="20"/>
          <w:szCs w:val="20"/>
        </w:rPr>
        <w:t xml:space="preserve">Freelance Earnings Analytics &amp; Trend Forecasting</w:t>
      </w:r>
      <w:r>
        <w:rPr>
          <w:rFonts w:ascii="Calibri" w:cs="Calibri" w:eastAsia="Calibri" w:hAnsi="Calibri"/>
          <w:i/>
          <w:iCs/>
          <w:color w:val="C9A84C"/>
          <w:sz w:val="18"/>
          <w:szCs w:val="18"/>
        </w:rPr>
        <w:t xml:space="preserve">  —  Python · Pandas · Matplotlib</w:t>
      </w:r>
    </w:p>
    <w:p>
      <w:pPr>
        <w:pStyle w:val="ListParagraph"/>
        <w:numPr>
          <w:ilvl w:val="0"/>
          <w:numId w:val="2"/>
        </w:numPr>
        <w:spacing w:before="40" w:after="40"/>
      </w:pPr>
      <w:r>
        <w:rPr>
          <w:rFonts w:ascii="Calibri" w:cs="Calibri" w:eastAsia="Calibri" w:hAnsi="Calibri"/>
          <w:color w:val="444444"/>
          <w:sz w:val="19"/>
          <w:szCs w:val="19"/>
        </w:rPr>
        <w:t xml:space="preserve">Conducted financial analytics to detect earning patterns, seasonal trends, and regional variations; generated automated analytical reports with statistical measures and actionable insights</w:t>
      </w:r>
    </w:p>
    <w:p>
      <w:pPr>
        <w:spacing w:before="140" w:after="30"/>
      </w:pPr>
      <w:r>
        <w:rPr>
          <w:rFonts w:ascii="Calibri" w:cs="Calibri" w:eastAsia="Calibri" w:hAnsi="Calibri"/>
          <w:b/>
          <w:bCs/>
          <w:color w:val="1B3A5C"/>
          <w:sz w:val="20"/>
          <w:szCs w:val="20"/>
        </w:rPr>
        <w:t xml:space="preserve">EduMap — Resource Allocation Analytics Dashboard</w:t>
      </w:r>
      <w:r>
        <w:rPr>
          <w:rFonts w:ascii="Calibri" w:cs="Calibri" w:eastAsia="Calibri" w:hAnsi="Calibri"/>
          <w:i/>
          <w:iCs/>
          <w:color w:val="C9A84C"/>
          <w:sz w:val="18"/>
          <w:szCs w:val="18"/>
        </w:rPr>
        <w:t xml:space="preserve">  —  Python · Streamlit · Plotly</w:t>
      </w:r>
    </w:p>
    <w:p>
      <w:pPr>
        <w:pStyle w:val="ListParagraph"/>
        <w:numPr>
          <w:ilvl w:val="0"/>
          <w:numId w:val="2"/>
        </w:numPr>
        <w:spacing w:before="40" w:after="40"/>
      </w:pPr>
      <w:r>
        <w:rPr>
          <w:rFonts w:ascii="Calibri" w:cs="Calibri" w:eastAsia="Calibri" w:hAnsi="Calibri"/>
          <w:color w:val="444444"/>
          <w:sz w:val="19"/>
          <w:szCs w:val="19"/>
        </w:rPr>
        <w:t xml:space="preserve">Designed an analytics dashboard integrating multiple data sources with a KPI framework and ranking algorithms; enabled self-service analytics through interactive filters and real-time visualisation</w:t>
      </w:r>
    </w:p>
    <w:p>
      <w:pPr>
        <w:spacing w:before="140" w:after="30"/>
      </w:pPr>
      <w:r>
        <w:rPr>
          <w:rFonts w:ascii="Calibri" w:cs="Calibri" w:eastAsia="Calibri" w:hAnsi="Calibri"/>
          <w:b/>
          <w:bCs/>
          <w:color w:val="1B3A5C"/>
          <w:sz w:val="20"/>
          <w:szCs w:val="20"/>
        </w:rPr>
        <w:t xml:space="preserve">Freelance Data Analyst Portfolio</w:t>
      </w:r>
      <w:r>
        <w:rPr>
          <w:rFonts w:ascii="Calibri" w:cs="Calibri" w:eastAsia="Calibri" w:hAnsi="Calibri"/>
          <w:i/>
          <w:iCs/>
          <w:color w:val="C9A84C"/>
          <w:sz w:val="18"/>
          <w:szCs w:val="18"/>
        </w:rPr>
        <w:t xml:space="preserve">  —  SQL · Python · R · Tableau · Power BI · R Shiny  ·  2021 – Present</w:t>
      </w:r>
    </w:p>
    <w:p>
      <w:pPr>
        <w:pStyle w:val="ListParagraph"/>
        <w:numPr>
          <w:ilvl w:val="0"/>
          <w:numId w:val="2"/>
        </w:numPr>
        <w:spacing w:before="40" w:after="40"/>
      </w:pPr>
      <w:r>
        <w:rPr>
          <w:rFonts w:ascii="Calibri" w:cs="Calibri" w:eastAsia="Calibri" w:hAnsi="Calibri"/>
          <w:color w:val="444444"/>
          <w:sz w:val="19"/>
          <w:szCs w:val="19"/>
        </w:rPr>
        <w:t xml:space="preserve">Delivered financial analytics and business analysis for multiple clients using SQL, Python, and R, covering revenue trends, growth patterns, and operational performance metrics</w:t>
      </w:r>
    </w:p>
    <w:p>
      <w:pPr>
        <w:pStyle w:val="ListParagraph"/>
        <w:numPr>
          <w:ilvl w:val="0"/>
          <w:numId w:val="2"/>
        </w:numPr>
        <w:spacing w:before="40" w:after="40"/>
      </w:pPr>
      <w:r>
        <w:rPr>
          <w:rFonts w:ascii="Calibri" w:cs="Calibri" w:eastAsia="Calibri" w:hAnsi="Calibri"/>
          <w:color w:val="444444"/>
          <w:sz w:val="19"/>
          <w:szCs w:val="19"/>
        </w:rPr>
        <w:t xml:space="preserve">Built executive-level dashboards in Tableau, Power BI, and R Shiny; wrote complex SQL queries using joins, CTEs, and window functions to extract and model data from relational databases</w:t>
      </w:r>
    </w:p>
    <w:p>
      <w:pPr>
        <w:pStyle w:val="ListParagraph"/>
        <w:numPr>
          <w:ilvl w:val="0"/>
          <w:numId w:val="2"/>
        </w:numPr>
        <w:spacing w:before="40" w:after="40"/>
      </w:pPr>
      <w:r>
        <w:rPr>
          <w:rFonts w:ascii="Calibri" w:cs="Calibri" w:eastAsia="Calibri" w:hAnsi="Calibri"/>
          <w:color w:val="444444"/>
          <w:sz w:val="19"/>
          <w:szCs w:val="19"/>
        </w:rPr>
        <w:t xml:space="preserve">Developed KPI frameworks and metrics trees connecting business goals to measurable outcomes; partnered with clients to translate business requirements into data deliverables</w:t>
      </w:r>
    </w:p>
    <w:p>
      <w:pPr>
        <w:spacing w:before="220" w:after="40"/>
      </w:pPr>
      <w:r>
        <w:rPr>
          <w:rFonts w:ascii="Calibri" w:cs="Calibri" w:eastAsia="Calibri" w:hAnsi="Calibri"/>
          <w:b/>
          <w:bCs/>
          <w:color w:val="1B3A5C"/>
          <w:spacing w:val="40"/>
          <w:sz w:val="24"/>
          <w:szCs w:val="24"/>
        </w:rPr>
        <w:t xml:space="preserve">EDUCATION</w:t>
      </w:r>
    </w:p>
    <w:p>
      <w:pPr>
        <w:pBdr>
          <w:bottom w:val="single" w:color="1B3A5C" w:sz="8" w:space="1"/>
        </w:pBdr>
        <w:spacing w:before="60" w:after="60"/>
      </w:pPr>
    </w:p>
    <w:p>
      <w:pPr>
        <w:spacing w:before="120" w:after="40"/>
      </w:pPr>
      <w:r>
        <w:rPr>
          <w:rFonts w:ascii="Calibri" w:cs="Calibri" w:eastAsia="Calibri" w:hAnsi="Calibri"/>
          <w:b/>
          <w:bCs/>
          <w:color w:val="1B3A5C"/>
          <w:sz w:val="20"/>
          <w:szCs w:val="20"/>
        </w:rPr>
        <w:t xml:space="preserve">BSc Data Science</w:t>
      </w:r>
      <w:r>
        <w:rPr>
          <w:rFonts w:ascii="Calibri" w:cs="Calibri" w:eastAsia="Calibri" w:hAnsi="Calibri"/>
          <w:color w:val="C9A84C"/>
          <w:sz w:val="19"/>
          <w:szCs w:val="19"/>
        </w:rPr>
        <w:t xml:space="preserve">  |  </w:t>
      </w:r>
      <w:r>
        <w:rPr>
          <w:rFonts w:ascii="Calibri" w:cs="Calibri" w:eastAsia="Calibri" w:hAnsi="Calibri"/>
          <w:i/>
          <w:iCs/>
          <w:color w:val="444444"/>
          <w:sz w:val="19"/>
          <w:szCs w:val="19"/>
        </w:rPr>
        <w:t xml:space="preserve">Open University of Kenya</w:t>
      </w:r>
      <w:r>
        <w:rPr>
          <w:rFonts w:ascii="Calibri" w:cs="Calibri" w:eastAsia="Calibri" w:hAnsi="Calibri"/>
          <w:color w:val="C9A84C"/>
          <w:sz w:val="19"/>
          <w:szCs w:val="19"/>
        </w:rPr>
        <w:t xml:space="preserve">  ·  </w:t>
      </w:r>
      <w:r>
        <w:rPr>
          <w:rFonts w:ascii="Calibri" w:cs="Calibri" w:eastAsia="Calibri" w:hAnsi="Calibri"/>
          <w:color w:val="444444"/>
          <w:sz w:val="19"/>
          <w:szCs w:val="19"/>
        </w:rPr>
        <w:t xml:space="preserve">Ongoing (Expected 2026)</w:t>
      </w:r>
      <w:r>
        <w:rPr>
          <w:rFonts w:ascii="Calibri" w:cs="Calibri" w:eastAsia="Calibri" w:hAnsi="Calibri"/>
          <w:i/>
          <w:iCs/>
          <w:color w:val="888888"/>
          <w:sz w:val="17"/>
          <w:szCs w:val="17"/>
        </w:rPr>
        <w:t xml:space="preserve">   Coursework: financial analytics · statistical modelling · database management · data visualisation · machine learning</w:t>
      </w:r>
    </w:p>
    <w:p>
      <w:pPr>
        <w:spacing w:before="120" w:after="40"/>
      </w:pPr>
      <w:r>
        <w:rPr>
          <w:rFonts w:ascii="Calibri" w:cs="Calibri" w:eastAsia="Calibri" w:hAnsi="Calibri"/>
          <w:b/>
          <w:bCs/>
          <w:color w:val="1B3A5C"/>
          <w:sz w:val="20"/>
          <w:szCs w:val="20"/>
        </w:rPr>
        <w:t xml:space="preserve">Diploma in Project Planning &amp; Management</w:t>
      </w:r>
      <w:r>
        <w:rPr>
          <w:rFonts w:ascii="Calibri" w:cs="Calibri" w:eastAsia="Calibri" w:hAnsi="Calibri"/>
          <w:color w:val="C9A84C"/>
          <w:sz w:val="19"/>
          <w:szCs w:val="19"/>
        </w:rPr>
        <w:t xml:space="preserve">  |  </w:t>
      </w:r>
      <w:r>
        <w:rPr>
          <w:rFonts w:ascii="Calibri" w:cs="Calibri" w:eastAsia="Calibri" w:hAnsi="Calibri"/>
          <w:i/>
          <w:iCs/>
          <w:color w:val="444444"/>
          <w:sz w:val="19"/>
          <w:szCs w:val="19"/>
        </w:rPr>
        <w:t xml:space="preserve">University of Nairobi</w:t>
      </w:r>
      <w:r>
        <w:rPr>
          <w:rFonts w:ascii="Calibri" w:cs="Calibri" w:eastAsia="Calibri" w:hAnsi="Calibri"/>
          <w:color w:val="C9A84C"/>
          <w:sz w:val="19"/>
          <w:szCs w:val="19"/>
        </w:rPr>
        <w:t xml:space="preserve">  ·  </w:t>
      </w:r>
      <w:r>
        <w:rPr>
          <w:rFonts w:ascii="Calibri" w:cs="Calibri" w:eastAsia="Calibri" w:hAnsi="Calibri"/>
          <w:color w:val="444444"/>
          <w:sz w:val="19"/>
          <w:szCs w:val="19"/>
        </w:rPr>
        <w:t xml:space="preserve">2020 – 2022</w:t>
      </w:r>
    </w:p>
    <w:p>
      <w:pPr>
        <w:spacing w:before="120" w:after="40"/>
      </w:pPr>
      <w:r>
        <w:rPr>
          <w:rFonts w:ascii="Calibri" w:cs="Calibri" w:eastAsia="Calibri" w:hAnsi="Calibri"/>
          <w:b/>
          <w:bCs/>
          <w:color w:val="1B3A5C"/>
          <w:sz w:val="20"/>
          <w:szCs w:val="20"/>
        </w:rPr>
        <w:t xml:space="preserve">Certificate in Software Development</w:t>
      </w:r>
      <w:r>
        <w:rPr>
          <w:rFonts w:ascii="Calibri" w:cs="Calibri" w:eastAsia="Calibri" w:hAnsi="Calibri"/>
          <w:color w:val="C9A84C"/>
          <w:sz w:val="19"/>
          <w:szCs w:val="19"/>
        </w:rPr>
        <w:t xml:space="preserve">  |  </w:t>
      </w:r>
      <w:r>
        <w:rPr>
          <w:rFonts w:ascii="Calibri" w:cs="Calibri" w:eastAsia="Calibri" w:hAnsi="Calibri"/>
          <w:i/>
          <w:iCs/>
          <w:color w:val="444444"/>
          <w:sz w:val="19"/>
          <w:szCs w:val="19"/>
        </w:rPr>
        <w:t xml:space="preserve">Moringa School</w:t>
      </w:r>
      <w:r>
        <w:rPr>
          <w:rFonts w:ascii="Calibri" w:cs="Calibri" w:eastAsia="Calibri" w:hAnsi="Calibri"/>
          <w:color w:val="C9A84C"/>
          <w:sz w:val="19"/>
          <w:szCs w:val="19"/>
        </w:rPr>
        <w:t xml:space="preserve">  ·  </w:t>
      </w:r>
      <w:r>
        <w:rPr>
          <w:rFonts w:ascii="Calibri" w:cs="Calibri" w:eastAsia="Calibri" w:hAnsi="Calibri"/>
          <w:color w:val="444444"/>
          <w:sz w:val="19"/>
          <w:szCs w:val="19"/>
        </w:rPr>
        <w:t xml:space="preserve">2021 – 2022</w:t>
      </w:r>
      <w:r>
        <w:rPr>
          <w:rFonts w:ascii="Calibri" w:cs="Calibri" w:eastAsia="Calibri" w:hAnsi="Calibri"/>
          <w:i/>
          <w:iCs/>
          <w:color w:val="888888"/>
          <w:sz w:val="17"/>
          <w:szCs w:val="17"/>
        </w:rPr>
        <w:t xml:space="preserve">   Certificate of Excellence awarded</w:t>
      </w:r>
    </w:p>
    <w:p>
      <w:pPr>
        <w:spacing w:before="220" w:after="40"/>
      </w:pPr>
      <w:r>
        <w:rPr>
          <w:rFonts w:ascii="Calibri" w:cs="Calibri" w:eastAsia="Calibri" w:hAnsi="Calibri"/>
          <w:b/>
          <w:bCs/>
          <w:color w:val="1B3A5C"/>
          <w:spacing w:val="40"/>
          <w:sz w:val="24"/>
          <w:szCs w:val="24"/>
        </w:rPr>
        <w:t xml:space="preserve">CERTIFICATIONS</w:t>
      </w:r>
    </w:p>
    <w:p>
      <w:pPr>
        <w:pBdr>
          <w:bottom w:val="single" w:color="1B3A5C" w:sz="8" w:space="1"/>
        </w:pBdr>
        <w:spacing w:before="60" w:after="60"/>
      </w:pPr>
    </w:p>
    <w:p>
      <w:pPr>
        <w:pStyle w:val="ListParagraph"/>
        <w:numPr>
          <w:ilvl w:val="0"/>
          <w:numId w:val="2"/>
        </w:numPr>
        <w:spacing w:before="40" w:after="40"/>
      </w:pPr>
      <w:r>
        <w:rPr>
          <w:rFonts w:ascii="Calibri" w:cs="Calibri" w:eastAsia="Calibri" w:hAnsi="Calibri"/>
          <w:color w:val="444444"/>
          <w:sz w:val="19"/>
          <w:szCs w:val="19"/>
        </w:rPr>
        <w:t xml:space="preserve">Certificate in Data Science — The Open University of Kenya  (2025)</w:t>
      </w:r>
    </w:p>
    <w:p>
      <w:pPr>
        <w:pStyle w:val="ListParagraph"/>
        <w:numPr>
          <w:ilvl w:val="0"/>
          <w:numId w:val="2"/>
        </w:numPr>
        <w:spacing w:before="40" w:after="40"/>
      </w:pPr>
      <w:r>
        <w:rPr>
          <w:rFonts w:ascii="Calibri" w:cs="Calibri" w:eastAsia="Calibri" w:hAnsi="Calibri"/>
          <w:color w:val="444444"/>
          <w:sz w:val="19"/>
          <w:szCs w:val="19"/>
        </w:rPr>
        <w:t xml:space="preserve">Certificate of Excellence — Moringa School  (2022)</w:t>
      </w:r>
    </w:p>
    <w:p>
      <w:pPr>
        <w:spacing w:before="220" w:after="40"/>
      </w:pPr>
      <w:r>
        <w:rPr>
          <w:rFonts w:ascii="Calibri" w:cs="Calibri" w:eastAsia="Calibri" w:hAnsi="Calibri"/>
          <w:b/>
          <w:bCs/>
          <w:color w:val="1B3A5C"/>
          <w:spacing w:val="40"/>
          <w:sz w:val="24"/>
          <w:szCs w:val="24"/>
        </w:rPr>
        <w:t xml:space="preserve">ADDITIONAL INFORMATION</w:t>
      </w:r>
    </w:p>
    <w:p>
      <w:pPr>
        <w:pBdr>
          <w:bottom w:val="single" w:color="1B3A5C" w:sz="8" w:space="1"/>
        </w:pBdr>
        <w:spacing w:before="60" w:after="60"/>
      </w:pPr>
    </w:p>
    <w:p>
      <w:pPr>
        <w:spacing w:before="80" w:after="80"/>
      </w:pPr>
      <w:r>
        <w:rPr>
          <w:rFonts w:ascii="Calibri" w:cs="Calibri" w:eastAsia="Calibri" w:hAnsi="Calibri"/>
          <w:b/>
          <w:bCs/>
          <w:color w:val="1B3A5C"/>
          <w:sz w:val="19"/>
          <w:szCs w:val="19"/>
        </w:rPr>
        <w:t xml:space="preserve">Driving Licence: </w:t>
      </w:r>
      <w:r>
        <w:rPr>
          <w:rFonts w:ascii="Calibri" w:cs="Calibri" w:eastAsia="Calibri" w:hAnsi="Calibri"/>
          <w:color w:val="444444"/>
          <w:sz w:val="19"/>
          <w:szCs w:val="19"/>
        </w:rPr>
        <w:t xml:space="preserve">Kenyan driving licence held    </w:t>
      </w:r>
      <w:r>
        <w:rPr>
          <w:rFonts w:ascii="Calibri" w:cs="Calibri" w:eastAsia="Calibri" w:hAnsi="Calibri"/>
          <w:color w:val="C9A84C"/>
          <w:sz w:val="19"/>
          <w:szCs w:val="19"/>
        </w:rPr>
        <w:t xml:space="preserve">  |  </w:t>
      </w:r>
      <w:r>
        <w:rPr>
          <w:rFonts w:ascii="Calibri" w:cs="Calibri" w:eastAsia="Calibri" w:hAnsi="Calibri"/>
          <w:b/>
          <w:bCs/>
          <w:color w:val="1B3A5C"/>
          <w:sz w:val="19"/>
          <w:szCs w:val="19"/>
        </w:rPr>
        <w:t xml:space="preserve">  Notice Period: </w:t>
      </w:r>
      <w:r>
        <w:rPr>
          <w:rFonts w:ascii="Calibri" w:cs="Calibri" w:eastAsia="Calibri" w:hAnsi="Calibri"/>
          <w:color w:val="444444"/>
          <w:sz w:val="19"/>
          <w:szCs w:val="19"/>
        </w:rPr>
        <w:t xml:space="preserve">Immediately available    </w:t>
      </w:r>
      <w:r>
        <w:rPr>
          <w:rFonts w:ascii="Calibri" w:cs="Calibri" w:eastAsia="Calibri" w:hAnsi="Calibri"/>
          <w:color w:val="C9A84C"/>
          <w:sz w:val="19"/>
          <w:szCs w:val="19"/>
        </w:rPr>
        <w:t xml:space="preserve">  |  </w:t>
      </w:r>
      <w:r>
        <w:rPr>
          <w:rFonts w:ascii="Calibri" w:cs="Calibri" w:eastAsia="Calibri" w:hAnsi="Calibri"/>
          <w:b/>
          <w:bCs/>
          <w:color w:val="1B3A5C"/>
          <w:sz w:val="19"/>
          <w:szCs w:val="19"/>
        </w:rPr>
        <w:t xml:space="preserve">  Remote Work: </w:t>
      </w:r>
      <w:r>
        <w:rPr>
          <w:rFonts w:ascii="Calibri" w:cs="Calibri" w:eastAsia="Calibri" w:hAnsi="Calibri"/>
          <w:color w:val="444444"/>
          <w:sz w:val="19"/>
          <w:szCs w:val="19"/>
        </w:rPr>
        <w:t xml:space="preserve">Experienced across distributed teams</w:t>
      </w:r>
    </w:p>
    <w:p>
      <w:pPr>
        <w:pBdr>
          <w:bottom w:val="single" w:color="C9A84C" w:sz="8" w:space="1"/>
        </w:pBdr>
        <w:spacing w:before="60" w:after="60"/>
      </w:pPr>
    </w:p>
    <w:p>
      <w:pPr>
        <w:spacing w:before="60" w:after="0"/>
        <w:jc w:val="center"/>
      </w:pPr>
      <w:r>
        <w:rPr>
          <w:rFonts w:ascii="Calibri" w:cs="Calibri" w:eastAsia="Calibri" w:hAnsi="Calibri"/>
          <w:i/>
          <w:iCs/>
          <w:color w:val="888888"/>
          <w:sz w:val="17"/>
          <w:szCs w:val="17"/>
        </w:rPr>
        <w:t xml:space="preserve">References available upon request  ·  Visa sponsorship required  ·  Open to relocation across the UAE and wider GCC</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2026-03-09T12:44:33.134Z</dcterms:created>
  <dcterms:modified xsi:type="dcterms:W3CDTF">2026-03-09T12:44:33.135Z</dcterms:modified>
</cp:coreProperties>
</file>

<file path=docProps/custom.xml><?xml version="1.0" encoding="utf-8"?>
<Properties xmlns="http://schemas.openxmlformats.org/officeDocument/2006/custom-properties" xmlns:vt="http://schemas.openxmlformats.org/officeDocument/2006/docPropsVTypes"/>
</file>