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A8006A1">
      <w:pPr>
        <w:spacing w:line="324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z w:val="52"/>
        </w:rPr>
        <w:t>明镜 MingJing 平台产品演进说明</w:t>
      </w:r>
    </w:p>
    <w:p w14:paraId="4FDBAA45">
      <w:pPr>
        <w:spacing w:line="372"/>
        <w:jc w:val="center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项目最初发布版 → 当前版本（含本轮最新改动）</w:t>
      </w:r>
    </w:p>
    <w:p w14:paraId="1525925C">
      <w:pPr>
        <w:spacing w:line="372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面向读者：产品负责人与评审人</w:t>
      </w:r>
    </w:p>
    <w:p w14:paraId="44EF9905">
      <w:pPr>
        <w:spacing w:line="372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1"/>
        </w:rPr>
        <w:t>说明：本文只讲产品与功能层面的变化，不涉及实现细节。</w:t>
      </w:r>
    </w:p>
    <w:p w14:paraId="7A1E4212">
      <w:pPr>
        <w:pStyle w:val="000003"/>
        <w:keepNext w:val="1"/>
        <w:keepLines w:val="1"/>
        <w:shd w:val="clear" w:fill="f3f6fa"/>
        <w:spacing w:before="100" w:beforeAutospacing="1" w:after="100" w:afterAutospacing="1" w:line="336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一句话总览</w:t>
      </w:r>
    </w:p>
    <w:p w14:paraId="10E48093">
      <w:pPr>
        <w:shd w:val="clear" w:fill="f3f6fa"/>
        <w:spacing w:line="372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明镜从最初发布时的一个</w:t>
      </w:r>
      <w:r>
        <w:rPr>
          <w:rFonts w:hint="eastAsia" w:ascii="SimSun" w:hAnsi="SimSun" w:eastAsia="SimSun" w:cs="SimSun"/>
          <w:b w:val="1"/>
          <w:color w:val="212121"/>
          <w:sz w:val="24"/>
        </w:rPr>
        <w:t>单页原生 Agent 高级工具</w:t>
      </w:r>
      <w:r>
        <w:rPr>
          <w:rFonts w:hint="eastAsia" w:ascii="SimSun" w:hAnsi="SimSun" w:eastAsia="SimSun" w:cs="SimSun"/>
          <w:color w:val="212121"/>
          <w:sz w:val="24"/>
        </w:rPr>
        <w:t>（面向懂技术的使用者、偏调试视角），演进为一套</w:t>
      </w:r>
      <w:r>
        <w:rPr>
          <w:rFonts w:hint="eastAsia" w:ascii="SimSun" w:hAnsi="SimSun" w:eastAsia="SimSun" w:cs="SimSun"/>
          <w:b w:val="1"/>
          <w:color w:val="212121"/>
          <w:sz w:val="24"/>
        </w:rPr>
        <w:t>面向投研人员的六页平台</w:t>
      </w:r>
      <w:r>
        <w:rPr>
          <w:rFonts w:hint="eastAsia" w:ascii="SimSun" w:hAnsi="SimSun" w:eastAsia="SimSun" w:cs="SimSun"/>
          <w:color w:val="212121"/>
          <w:sz w:val="24"/>
        </w:rPr>
        <w:t>：核查结果不再只给出“对/错”，还解释“为什么无法核实”；并补齐了</w:t>
      </w:r>
      <w:r>
        <w:rPr>
          <w:rFonts w:hint="eastAsia" w:ascii="SimSun" w:hAnsi="SimSun" w:eastAsia="SimSun" w:cs="SimSun"/>
          <w:b w:val="1"/>
          <w:color w:val="212121"/>
          <w:sz w:val="24"/>
        </w:rPr>
        <w:t>弃权诊断</w:t>
      </w:r>
      <w:r>
        <w:rPr>
          <w:rFonts w:hint="eastAsia" w:ascii="SimSun" w:hAnsi="SimSun" w:eastAsia="SimSun" w:cs="SimSun"/>
          <w:color w:val="212121"/>
          <w:sz w:val="24"/>
        </w:rPr>
        <w:t>与</w:t>
      </w:r>
      <w:r>
        <w:rPr>
          <w:rFonts w:hint="eastAsia" w:ascii="SimSun" w:hAnsi="SimSun" w:eastAsia="SimSun" w:cs="SimSun"/>
          <w:b w:val="1"/>
          <w:color w:val="212121"/>
          <w:sz w:val="24"/>
        </w:rPr>
        <w:t>口径澄清</w:t>
      </w:r>
      <w:r>
        <w:rPr>
          <w:rFonts w:hint="eastAsia" w:ascii="SimSun" w:hAnsi="SimSun" w:eastAsia="SimSun" w:cs="SimSun"/>
          <w:color w:val="212121"/>
          <w:sz w:val="24"/>
        </w:rPr>
        <w:t>两条闭环；双端界面统一为浅色专业风、可互相跳转；主界面只保留业务必需项，把工程自测内容移出。</w:t>
      </w:r>
    </w:p>
    <w:p w14:paraId="271ED6F9">
      <w:pPr>
        <w:pStyle w:val="000003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演进主线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E006C8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能力域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280340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最初发布版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7CEC7E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当前版本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A594E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核查能力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30079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只输出“已核实／有误／未能核实”三类结论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5EE537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能对“未能核实”归类归因，区分缺材料与口径不明；口径来源可追溯；封堵拼凑式“假核实”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62F52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诊断与澄清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CE5B9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弃权只是一个数字，无从下手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D39DC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弃权诊断看板（看结构、逐条下钻）+ 口径澄清工具（逐组声明、生成重算），两条闭环打通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1B944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平台界面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B1FBE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单一高级界面，能力分散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A8024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六页统一平台（工作台／核查结果／知识库／任务历史／设置／说明），高级能力仍在高级界面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E007C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交互体验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A495D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小屏错位、按钮静默失败、录入不符习惯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8CEFF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小屏可用、操作有反馈、录入更顺手，界面按业务需要精简</w:t>
            </w:r>
          </w:p>
        </w:tc>
      </w:tr>
    </w:tbl>
    <w:p w14:paraId="655B0E57">
      <w:pPr>
        <w:pStyle w:val="000003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一、核查能力：从“只报结论”到“能解释为什么没结论”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5DB38DD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变化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132952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最初发布版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64DC9A1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当前版本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37908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对使用者意味着什么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DD773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未能核实按原因归类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6397C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“未能核实”是一个笼统的桶，看不出原因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B0077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按原因分类，明确区分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真缺材料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（补对应报告即可复核）与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口径不明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（需先声明用哪个口径）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DAE15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得到一张可执行清单：知道该补哪份材料、该澄清哪个口径，而不是笼统感觉“系统没查出来”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BF280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口径澄清证据链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2CAA3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缺少“这个指标按什么口径算”的可追溯记录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0CF19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口径来源完整留痕：由哪条原文线索得出、使用者声明了什么、重算依据是什么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83217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结论可复核、可审计；口径不是系统暗自猜测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11276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抗“一源多标”凑数校验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649AD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一段原文被挂到多个互不相干指标上凑数，难以识别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92F2B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同一段原文最多支撑两个不同指标，超出即判为凑数、整组不予采用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9320D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避免“看着有依据、其实是拼凑”的假核实，结论更可信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92BD5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口径出处审计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B24B7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已有一套口径定义，但存在共用无关条款、默认写死等问题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25925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逐项审计出处，只采信“原文明示”的口径，来源不成立的不作依据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E0054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守住“不得默认采用合并口径”这条底线</w:t>
            </w:r>
          </w:p>
        </w:tc>
      </w:tr>
    </w:tbl>
    <w:p w14:paraId="0DB21C11">
      <w:pPr>
        <w:pStyle w:val="000003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二、诊断与澄清：两条闭环</w:t>
      </w:r>
    </w:p>
    <w:p w14:paraId="34AE0D3C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2.1 弃权率归因诊断看板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DCE8D7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AEF213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DD755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原来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42D2F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弃权率高只是一个数字，看不出结构，无处下手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F4937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现在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064E8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把弃权按构成分解、按根因展开，可逐条下钻到“具体哪一条、什么原因”，并可跳转到口径澄清工具直接处理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AB61C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意味着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49232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从“知道弃权多”升级到“知道为什么多、先处理哪一类”</w:t>
            </w:r>
          </w:p>
        </w:tc>
      </w:tr>
    </w:tbl>
    <w:p w14:paraId="34DB85E0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2.2 报表口径澄清交互工具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C3B342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500A67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C32DC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原来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6F75F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口径澄清依赖命令行或口头约定，容易误用、出错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9CF87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现在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2D7C1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待澄清口径按组列出，逐组选定口径并生成重算命令；内置四层防误用（原文线索预选、系统建议提示、动态横幅、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必须勾选“已核对原文”才能提交的硬闸门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），生成的命令会注明口径来源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4006D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意味着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048C7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非技术使用者也能安全完成口径澄清；未确认就不会生成命令</w:t>
            </w:r>
          </w:p>
        </w:tc>
      </w:tr>
    </w:tbl>
    <w:p w14:paraId="22BBD478">
      <w:pPr>
        <w:pStyle w:val="000003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三、平台界面</w:t>
      </w:r>
    </w:p>
    <w:p w14:paraId="0F12268A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3.1 六页主平台成型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639948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EA5058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7B94D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原来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7AFDC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能力分散在多个入口，缺少统一门户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8A703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现在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A9226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统一为六页：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工作台、核查结果、知识库、任务历史、设置、说明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；高级能力保留在“高级界面”，主界面聚焦日常核查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C59B6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意味着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5AF0F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日常使用在一处即可完成全流程，减少入口切换</w:t>
            </w:r>
          </w:p>
        </w:tc>
      </w:tr>
    </w:tbl>
    <w:p w14:paraId="3325053F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3.2 双端界面视觉统一与跨端跳转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A00B5F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1E4212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A125A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原来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43633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两个界面视觉风格不一致（一深一浅），来回切换体验割裂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D008A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现在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4C8BD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统一为浅色专业风，两个界面之间可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双向跳转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F0089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意味着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F6CF8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同一套产品观感，切换不再“跳戏”</w:t>
            </w:r>
          </w:p>
        </w:tc>
      </w:tr>
    </w:tbl>
    <w:p w14:paraId="2F58AF88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3.3 小屏适配与可键盘操作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6B2CC8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D924E8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68184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原来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DFD58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窄屏下导航被挤出视口、按钮行不换行、设置页下拉框撑破布局；键盘操作看不到焦点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6E513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现在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80082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导航自动换行、按钮行可换行、下拉框不再溢出、键盘焦点清晰可见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549A9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意味着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6DC17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笔记本分屏、小窗口以及只用键盘的场景都能正常使用</w:t>
            </w:r>
          </w:p>
        </w:tc>
      </w:tr>
    </w:tbl>
    <w:p w14:paraId="725E56B5">
      <w:pPr>
        <w:pStyle w:val="000003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四、交互体验（本轮重点）</w:t>
      </w:r>
    </w:p>
    <w:p w14:paraId="46E51964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4.1 工作台提交区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F80F92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变化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B03999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最初发布版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0BBB47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当前版本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4AD3B0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对使用者意味着什么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495D3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说明文字排版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627624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用间隔点把三件事串成一行，操作入口与说明混在一起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F240D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重新分行排版，操作入口与说明文字分层呈现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1A407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一眼分得清“能点什么”与“会发生什么”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1BA5C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试用示例按钮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68791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名为“一键演示（虚构样例，含预埋错误）”，更像免责声明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C4BCA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更名“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试用示例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”，说明文字移到悬停提示；点击后载入内置样例并直接跑到核查结果页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501F9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名称通俗、愿意尝试；一按就能看到完整效果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AACFD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从知识库选择材料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8F6B7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异常时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完全静默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，使用者以为按钮坏了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5839D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服务未连接、知识库为空、没有勾选、成功加入四种情况都有明确提示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C80AC8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每一步都有反馈，不再靠猜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CB1F42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任务类型选择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5EFD3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选中后只有边框变化，容易误以为会切换界面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871E9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选中后，开始按钮旁的提示文字随之变化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5CA47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清楚当前选的是“自动识别／研报核查／财报分析”</w:t>
            </w:r>
          </w:p>
        </w:tc>
      </w:tr>
      <w:tr>
        <w:trPr/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A12A6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可选项折叠面板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BE5EE6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标题带括号说明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CB6AC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标题简化为“可选项”</w:t>
            </w:r>
          </w:p>
        </w:tc>
        <w:tc>
          <w:tcPr>
            <w:tcW w:w="2076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58FA5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更清爽</w:t>
            </w:r>
          </w:p>
        </w:tc>
      </w:tr>
    </w:tbl>
    <w:p w14:paraId="0C56DD3D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4.2 结果页精简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765397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变化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291A2D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处理方式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C654A1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功能是否还在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C1313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重放验证按钮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E4BD3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从结果页撤下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0C9D1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在，高级界面本就具备，主界面不重复提供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9FE507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材料会话与补证（整块）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B3FD4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从结果页撤下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D9D37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在，高级界面本就具备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6FD40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“推定与假设”页签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D92E6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撤下页签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380B1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在，改为“全部陈述”页顶部一行说明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6E422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“分级统计”页签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D2544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撤下页签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A275BC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在，由原有多条件筛选承载</w:t>
            </w:r>
          </w:p>
        </w:tc>
      </w:tr>
    </w:tbl>
    <w:p w14:paraId="3D1E9A50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4.3 知识库精简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4FE38D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变化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0149D92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最初发布版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F95021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当前版本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81301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顶部概览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75DCF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五项，含“去重节省上传”“任务引用次数”“缓存条目”等工程指标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E7690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精简为两项：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文档、公司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AFFF0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留痕校验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53504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名为“校验哈希链”，偏技术表述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2329C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更名“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校验留痕完整性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”，说明改为“谁在什么时候用过这份材料”</w:t>
            </w:r>
          </w:p>
        </w:tc>
      </w:tr>
    </w:tbl>
    <w:p w14:paraId="25499AEC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4.4 设置页精简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C7538A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变化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B24355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处理方式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8B864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“测试 Agent 工具闭环”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1814F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移出（属开发自测内容）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64AE7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“高级界面”说明面板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F331C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删除（与顶部入口重复）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8644E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保留项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F2C55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模型配置、测试连接、发现模型、运行环境</w:t>
            </w:r>
          </w:p>
        </w:tc>
      </w:tr>
    </w:tbl>
    <w:p w14:paraId="5EDFA3D1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4.5 研报日期输入方式改造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57FF33D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C9E83A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78148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原来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500CE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使用系统原生日期控件，空值时显示中文“年／月／日”，不符合录入习惯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C3D34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现在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E3A34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可直接键入 2026-10-15；右侧保留日历按钮用于点选；手输 2026/10/15、20261015 等形式会自动归一化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B132A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意味着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D3D64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录入更快、更符合习惯，格式自动纠正</w:t>
            </w:r>
          </w:p>
        </w:tc>
      </w:tr>
    </w:tbl>
    <w:p w14:paraId="3D0F3542">
      <w:pPr>
        <w:pStyle w:val="000004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6"/>
        </w:rPr>
        <w:t>4.6 新增本地服务启动方式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32EC41C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BCFF1F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2F679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现在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F3A0C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仓库根目录新增一个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双击即可启动平台并自动打开浏览器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的启动脚本，不依赖任何构建步骤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D81285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解决的问题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6B724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此前的成品程序内置的是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旧界面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，要看到最新界面必须用这种方式启动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364CB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意味着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FF8C8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评审与演示可直接看到最新平台，无需任何构建操作</w:t>
            </w:r>
          </w:p>
        </w:tc>
      </w:tr>
    </w:tbl>
    <w:p w14:paraId="78B36D25">
      <w:pPr>
        <w:pStyle w:val="000003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五、界面精简的取舍说明</w:t>
      </w:r>
    </w:p>
    <w:p w14:paraId="0FDC5FFB">
      <w:pPr>
        <w:spacing w:line="372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主界面本轮做了“减法”。为免误读为功能被删，统一说明去向：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D9FDE7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被撤下的内容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747F78A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去向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41F6991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是否仍可用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68125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重放验证（结果页）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1FA08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高级界面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6929D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1EB7B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材料会话与补证（结果页）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3B32E4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高级界面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19553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6657B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推定与假设（页签）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60728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合并进“全部陈述”页顶部一行说明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7CDF8D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F0179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分级统计（页签）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3EC78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合并进原有筛选下拉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80136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是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E833C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去重节省上传／任务引用次数／缓存条目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5E4DE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移除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CED81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属工程指标，非业务信息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86FC9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测试 Agent 工具闭环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0AFAA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移除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1C16DA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属开发自测</w:t>
            </w:r>
          </w:p>
        </w:tc>
      </w:tr>
      <w:tr>
        <w:trPr/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0BE1B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高级界面说明面板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67DD83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移除</w:t>
            </w:r>
          </w:p>
        </w:tc>
        <w:tc>
          <w:tcPr>
            <w:tcW w:w="2768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094A2A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顶部已可直接进入</w:t>
            </w:r>
          </w:p>
        </w:tc>
      </w:tr>
    </w:tbl>
    <w:p w14:paraId="75C84DAC">
      <w:pPr>
        <w:pStyle w:val="000003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六、保持不变的红线与边界</w:t>
      </w:r>
    </w:p>
    <w:p w14:paraId="15B55CC0">
      <w:pPr>
        <w:spacing w:line="372"/>
        <w:ind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以下原则在全部演进过程中</w:t>
      </w:r>
      <w:r>
        <w:rPr>
          <w:rFonts w:hint="eastAsia" w:ascii="SimSun" w:hAnsi="SimSun" w:eastAsia="SimSun" w:cs="SimSun"/>
          <w:b w:val="1"/>
          <w:color w:val="212121"/>
          <w:sz w:val="24"/>
        </w:rPr>
        <w:t>始终未变</w:t>
      </w:r>
      <w:r>
        <w:rPr>
          <w:rFonts w:hint="eastAsia" w:ascii="SimSun" w:hAnsi="SimSun" w:eastAsia="SimSun" w:cs="SimSun"/>
          <w:color w:val="212121"/>
          <w:sz w:val="24"/>
        </w:rPr>
        <w:t>：</w:t>
      </w:r>
    </w:p>
    <w:p w14:paraId="70FE8896">
      <w:pPr>
        <w:numPr>
          <w:ilvl w:val="0"/>
          <w:numId w:val="1"/>
        </w:numPr>
        <w:pBdr>
          <w:left w:space="14"/>
        </w:pBdr>
        <w:spacing w:line="372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不默认采用合并口径</w:t>
      </w:r>
      <w:r>
        <w:rPr>
          <w:rFonts w:hint="eastAsia" w:ascii="SimSun" w:hAnsi="SimSun" w:eastAsia="SimSun" w:cs="SimSun"/>
          <w:color w:val="212121"/>
          <w:sz w:val="24"/>
        </w:rPr>
        <w:t>——口径不明时宁可弃权，也不暗自选择一个口径。</w:t>
      </w:r>
    </w:p>
    <w:p w14:paraId="27CA1D27">
      <w:pPr>
        <w:numPr>
          <w:ilvl w:val="0"/>
          <w:numId w:val="1"/>
        </w:numPr>
        <w:pBdr>
          <w:left w:space="14"/>
        </w:pBdr>
        <w:spacing w:line="372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不把“未核实”改写成“已核实”</w:t>
      </w:r>
      <w:r>
        <w:rPr>
          <w:rFonts w:hint="eastAsia" w:ascii="SimSun" w:hAnsi="SimSun" w:eastAsia="SimSun" w:cs="SimSun"/>
          <w:color w:val="212121"/>
          <w:sz w:val="24"/>
        </w:rPr>
        <w:t>——判定结果一经产生不被改写。</w:t>
      </w:r>
    </w:p>
    <w:p w14:paraId="3F010BDD">
      <w:pPr>
        <w:numPr>
          <w:ilvl w:val="0"/>
          <w:numId w:val="1"/>
        </w:numPr>
        <w:pBdr>
          <w:left w:space="14"/>
        </w:pBdr>
        <w:spacing w:line="372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口径不明时必须弃权</w:t>
      </w:r>
      <w:r>
        <w:rPr>
          <w:rFonts w:hint="eastAsia" w:ascii="SimSun" w:hAnsi="SimSun" w:eastAsia="SimSun" w:cs="SimSun"/>
          <w:color w:val="212121"/>
          <w:sz w:val="24"/>
        </w:rPr>
        <w:t>，不凭数值巧合倒推结论。</w:t>
      </w:r>
    </w:p>
    <w:p w14:paraId="2BE4BA19">
      <w:pPr>
        <w:numPr>
          <w:ilvl w:val="0"/>
          <w:numId w:val="1"/>
        </w:numPr>
        <w:pBdr>
          <w:left w:space="14"/>
        </w:pBdr>
        <w:spacing w:line="372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不臆造数值</w:t>
      </w:r>
      <w:r>
        <w:rPr>
          <w:rFonts w:hint="eastAsia" w:ascii="SimSun" w:hAnsi="SimSun" w:eastAsia="SimSun" w:cs="SimSun"/>
          <w:color w:val="212121"/>
          <w:sz w:val="24"/>
        </w:rPr>
        <w:t>——数值事实必须来自原文或确定性重算。</w:t>
      </w:r>
    </w:p>
    <w:p w14:paraId="1F73789B">
      <w:pPr>
        <w:numPr>
          <w:ilvl w:val="0"/>
          <w:numId w:val="1"/>
        </w:numPr>
        <w:pBdr>
          <w:left w:space="14"/>
        </w:pBdr>
        <w:spacing w:line="372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无模型时以纯确定性内核完整运行</w:t>
      </w:r>
      <w:r>
        <w:rPr>
          <w:rFonts w:hint="eastAsia" w:ascii="SimSun" w:hAnsi="SimSun" w:eastAsia="SimSun" w:cs="SimSun"/>
          <w:color w:val="212121"/>
          <w:sz w:val="24"/>
        </w:rPr>
        <w:t>，功能不因缺少模型而缺失。</w:t>
      </w:r>
    </w:p>
    <w:p w14:paraId="415867FC">
      <w:pPr>
        <w:pStyle w:val="000003"/>
        <w:keepNext w:val="1"/>
        <w:keepLines w:val="1"/>
        <w:spacing w:before="288" w:beforeAutospacing="1" w:after="288" w:afterAutospacing="1" w:line="336"/>
        <w:ind w:left="288" w:right="288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七、已知限制与待办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26ACAF2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项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val="clear" w:fill="e4ebf5"/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</w:tcPr>
          <w:p w14:paraId="1DC8EF5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现状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22596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成品程序界面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4AE7F0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仍是旧界面，需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1"/>
              </w:rPr>
              <w:t>重新打包</w:t>
            </w:r>
            <w:r>
              <w:rPr>
                <w:rFonts w:hint="eastAsia" w:ascii="SimSun" w:hAnsi="SimSun" w:eastAsia="SimSun" w:cs="SimSun"/>
                <w:color w:val="212121"/>
                <w:sz w:val="21"/>
              </w:rPr>
              <w:t>才能与最新平台同步</w:t>
            </w:r>
          </w:p>
        </w:tc>
      </w:tr>
      <w:tr>
        <w:trPr/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5ACE28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打包前置条件</w:t>
            </w:r>
          </w:p>
        </w:tc>
        <w:tc>
          <w:tcPr>
            <w:tcW w:w="4153" w:type="dxa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top"/>
          </w:tcPr>
          <w:p w14:paraId="272D53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需补齐上游依赖闭包，当前环境尚未完成</w:t>
            </w:r>
          </w:p>
        </w:tc>
      </w:tr>
    </w:tbl>
    <w:p w14:paraId="2032CBB1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4E6A9B12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3A474B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7" w:semiHidden="1" w:unhideWhenUsed="1"/>
    <w:lsdException w:name="table of figures" w:semiHidden="1" w:unhideWhenUsed="1"/>
    <w:lsdException w:name="List Continue 3" w:semiHidden="1" w:unhideWhenUsed="1"/>
    <w:lsdException w:name="macro" w:semiHidden="1" w:unhideWhenUsed="1"/>
    <w:lsdException w:name="List Continue 2" w:semiHidden="1" w:unhideWhenUsed="1"/>
    <w:lsdException w:name="toc 3" w:uiPriority="39" w:semiHidden="1" w:unhideWhenUsed="1"/>
    <w:lsdException w:name="Date" w:semiHidden="1" w:unhideWhenUsed="1"/>
    <w:lsdException w:name="page number" w:semiHidden="1" w:unhideWhenUsed="1"/>
    <w:lsdException w:name="envelope return" w:semiHidden="1" w:unhideWhenUsed="1"/>
    <w:lsdException w:name="toc 8" w:uiPriority="39" w:semiHidden="1" w:unhideWhenUsed="1"/>
    <w:lsdException w:name="List Number 5" w:semiHidden="1" w:unhideWhenUsed="1"/>
    <w:lsdException w:name="Default Paragraph Font" w:uiPriority="1" w:semiHidden="1" w:unhideWhenUsed="1"/>
    <w:lsdException w:name="Body Text 2" w:semiHidden="1" w:unhideWhenUsed="1"/>
    <w:lsdException w:name="endnote reference" w:semiHidden="1" w:unhideWhenUsed="1"/>
    <w:lsdException w:name="Body Text 3" w:semiHidden="1" w:unhideWhenUsed="1"/>
    <w:lsdException w:name="List Bullet 3" w:semiHidden="1" w:unhideWhenUsed="1"/>
    <w:lsdException w:name="toa heading" w:semiHidden="1" w:unhideWhenUsed="1"/>
    <w:lsdException w:name="toc 1" w:uiPriority="39" w:semiHidden="1" w:unhideWhenUsed="1"/>
    <w:lsdException w:name="Block Text" w:semiHidden="1" w:unhideWhenUsed="1"/>
    <w:lsdException w:name="heading 5" w:uiPriority="9" w:semiHidden="1" w:unhideWhenUsed="1" w:qFormat="1"/>
    <w:lsdException w:name="List Continue 4" w:semiHidden="1" w:unhideWhenUsed="1"/>
    <w:lsdException w:name="toc 5" w:uiPriority="39" w:semiHidden="1" w:unhideWhenUsed="1"/>
    <w:lsdException w:name="index 8" w:semiHidden="1" w:unhideWhenUsed="1"/>
    <w:lsdException w:name="toc 4" w:uiPriority="39" w:semiHidden="1" w:unhideWhenUsed="1"/>
    <w:lsdException w:name="List Bullet 2" w:semiHidden="1" w:unhideWhenUsed="1"/>
    <w:lsdException w:name="toc 6" w:uiPriority="39" w:semiHidden="1" w:unhideWhenUsed="1"/>
    <w:lsdException w:name="caption" w:uiPriority="35" w:semiHidden="1" w:unhideWhenUsed="1" w:qFormat="1"/>
    <w:lsdException w:name="Body Text Indent 3" w:semiHidden="1" w:unhideWhenUsed="1"/>
    <w:lsdException w:name="envelope address" w:semiHidden="1" w:unhideWhenUsed="1"/>
    <w:lsdException w:name="Normal" w:uiPriority="0" w:qFormat="1"/>
    <w:lsdException w:name="heading 9" w:uiPriority="9" w:semiHidden="1" w:unhideWhenUsed="1" w:qFormat="1"/>
    <w:lsdException w:name="List Continue 5" w:semiHidden="1" w:unhideWhenUsed="1"/>
    <w:lsdException w:name="line number" w:semiHidden="1" w:unhideWhenUsed="1"/>
    <w:lsdException w:name="index 5" w:semiHidden="1" w:unhideWhenUsed="1"/>
    <w:lsdException w:name="toc 9" w:uiPriority="39" w:semiHidden="1" w:unhideWhenUsed="1"/>
    <w:lsdException w:name="index 1" w:semiHidden="1" w:unhideWhenUsed="1"/>
    <w:lsdException w:name="heading 4" w:uiPriority="9" w:semiHidden="1" w:unhideWhenUsed="1" w:qFormat="1"/>
    <w:lsdException w:name="endnote text" w:semiHidden="1" w:unhideWhenUsed="1"/>
    <w:lsdException w:name="Closing" w:semiHidden="1" w:unhideWhenUsed="1"/>
    <w:lsdException w:name="toc 2" w:uiPriority="39" w:semiHidden="1" w:unhideWhenUsed="1"/>
    <w:lsdException w:name="List Bullet 4" w:semiHidden="1" w:unhideWhenUsed="1"/>
    <w:lsdException w:name="Note Heading" w:semiHidden="1" w:unhideWhenUsed="1"/>
    <w:lsdException w:name="List 4" w:semiHidden="1" w:unhideWhenUsed="1"/>
    <w:lsdException w:name="index heading" w:semiHidden="1" w:unhideWhenUsed="1"/>
    <w:lsdException w:name="List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index 9" w:semiHidden="1" w:unhideWhenUsed="1"/>
    <w:lsdException w:name="Title" w:uiPriority="10" w:qFormat="1"/>
    <w:lsdException w:name="toc 7" w:uiPriority="39" w:semiHidden="1" w:unhideWhenUsed="1"/>
    <w:lsdException w:name="table of authorities" w:semiHidden="1" w:unhideWhenUsed="1"/>
    <w:lsdException w:name="index 3" w:semiHidden="1" w:unhideWhenUsed="1"/>
    <w:lsdException w:name="heading 1" w:uiPriority="9" w:qFormat="1"/>
    <w:lsdException w:name="Body Text Indent" w:semiHidden="1" w:unhideWhenUsed="1"/>
    <w:lsdException w:name="Subtitle" w:uiPriority="11" w:qFormat="1"/>
    <w:lsdException w:name="heading 2" w:uiPriority="9" w:semiHidden="1" w:unhideWhenUsed="1" w:qFormat="1"/>
    <w:lsdException w:name="List Continue" w:semiHidden="1" w:unhideWhenUsed="1"/>
    <w:lsdException w:name="index 2" w:semiHidden="1" w:unhideWhenUsed="1"/>
    <w:lsdException w:name="List Number 4" w:semiHidden="1" w:unhideWhenUsed="1"/>
    <w:lsdException w:name="Body Text First Indent 2" w:semiHidden="1" w:unhideWhenUsed="1"/>
    <w:lsdException w:name="index 6" w:semiHidden="1" w:unhideWhenUsed="1"/>
    <w:lsdException w:name="annotation reference" w:semiHidden="1" w:unhideWhenUsed="1"/>
    <w:lsdException w:name="FollowedHyperlink" w:semiHidden="1" w:unhideWhenUsed="1"/>
    <w:lsdException w:name="List 5" w:semiHidden="1" w:unhideWhenUsed="1"/>
    <w:lsdException w:name="Strong" w:uiPriority="22" w:qFormat="1"/>
    <w:lsdException w:name="annotation text" w:semiHidden="1" w:unhideWhenUsed="1"/>
    <w:lsdException w:name="Normal Indent" w:semiHidden="1" w:unhideWhenUsed="1"/>
    <w:lsdException w:name="Body Text" w:semiHidden="1" w:unhideWhenUsed="1"/>
    <w:lsdException w:name="footer" w:semiHidden="1" w:unhideWhenUsed="1"/>
    <w:lsdException w:name="List Number 3" w:semiHidden="1" w:unhideWhenUsed="1"/>
    <w:lsdException w:name="header" w:semiHidden="1" w:unhideWhenUsed="1"/>
    <w:lsdException w:name="List Bullet 5" w:semiHidden="1" w:unhideWhenUsed="1"/>
    <w:lsdException w:name="List 2" w:semiHidden="1" w:unhideWhenUsed="1"/>
    <w:lsdException w:name="Salutation" w:semiHidden="1" w:unhideWhenUsed="1"/>
    <w:lsdException w:name="List 3" w:semiHidden="1" w:unhideWhenUsed="1"/>
    <w:lsdException w:name="Message Header" w:semiHidden="1" w:unhideWhenUsed="1"/>
    <w:lsdException w:name="List Bullet" w:semiHidden="1" w:unhideWhenUsed="1"/>
    <w:lsdException w:name="Signature" w:semiHidden="1" w:unhideWhenUsed="1"/>
    <w:lsdException w:name="heading 8" w:uiPriority="9" w:semiHidden="1" w:unhideWhenUsed="1" w:qFormat="1"/>
    <w:lsdException w:name="footnote text" w:semiHidden="1" w:unhideWhenUsed="1"/>
    <w:lsdException w:name="index 4" w:semiHidden="1" w:unhideWhenUsed="1"/>
    <w:lsdException w:name="footnote reference" w:semiHidden="1" w:unhideWhenUsed="1"/>
    <w:lsdException w:name="List Number" w:semiHidden="1" w:unhideWhenUsed="1"/>
    <w:lsdException w:name="List Number 2" w:semiHidden="1" w:unhideWhenUsed="1"/>
    <w:lsdException w:name="Hyperlink" w:semiHidden="1" w:unhideWhenUsed="1"/>
    <w:lsdException w:name="Body Text First Indent" w:semiHidden="1" w:unhideWhenUsed="1"/>
    <w:lsdException w:name="Body Text Indent 2" w:semiHidden="1" w:unhideWhenUsed="1"/>
    <w:lsdException w:name="heading 3" w:uiPriority="9" w:semiHidden="1" w:unhideWhenUsed="1" w:qFormat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2026-10-15T20:13:17Z</dcterms:created>
  <dcterms:modified xsi:type="dcterms:W3CDTF">2026-10-15T20:13:17Z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"01a13f775eb173d48efd008b27ba797f", "ReservedCode1": "", "ContentPropagator": "00119111010856365494821B355", "PropagateID": "01a13f775eb173d48efd008b27ba797f", "ReservedCode2": ""}}</vt:lpwstr>
  </property>
</Properties>
</file>