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Tesspack Graft — llama.cpp Inference Verification Report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Date: 2026-09-03 | Model: Qwen3-4B-MoE (Q4_K) | Target: Lossless weight roundtrip through geometric addressing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1. Executive Summary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This report verifies that quantized MoE model weights can be stored in a geometric address space (6ico compound, 20736 slots per capo) and retrieved with bitwise-identical fidelity, producing correct llama.cpp inference output.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2. Pipeline Under Test</w:t>
      </w:r>
    </w:p>
    <w:p>
      <w:pPr>
        <w:spacing w:after="120"/>
      </w:pP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GGUF (original) → tesspack bake (scatter-encode) → .tesspack (single-file container) → tesspack graft (reassemble) → valid GGUF → llama.cpp inference → compare logits + tokens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3. Model Metadata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shd w:fill="1B4F72" w:color="auto" w:val="clea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5000"/>
            <w:shd w:fill="1B4F72" w:color="auto" w:val="clea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000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qwen3moe</w:t>
            </w:r>
          </w:p>
        </w:tc>
      </w:tr>
      <w:tr>
        <w:tc>
          <w:tcPr>
            <w:tcW w:type="dxa" w:w="4000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Parameters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4.03 B</w:t>
            </w:r>
          </w:p>
        </w:tc>
      </w:tr>
      <w:tr>
        <w:tc>
          <w:tcPr>
            <w:tcW w:type="dxa" w:w="4000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Quantization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Q4_K - Medium (7.32 BPW)</w:t>
            </w:r>
          </w:p>
        </w:tc>
      </w:tr>
      <w:tr>
        <w:tc>
          <w:tcPr>
            <w:tcW w:type="dxa" w:w="4000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n_embd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2560</w:t>
            </w:r>
          </w:p>
        </w:tc>
      </w:tr>
      <w:tr>
        <w:tc>
          <w:tcPr>
            <w:tcW w:type="dxa" w:w="4000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n_layer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36</w:t>
            </w:r>
          </w:p>
        </w:tc>
      </w:tr>
      <w:tr>
        <w:tc>
          <w:tcPr>
            <w:tcW w:type="dxa" w:w="4000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n_vocab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151936</w:t>
            </w:r>
          </w:p>
        </w:tc>
      </w:tr>
      <w:tr>
        <w:tc>
          <w:tcPr>
            <w:tcW w:type="dxa" w:w="4000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n_expert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64 (top-4)</w:t>
            </w:r>
          </w:p>
        </w:tc>
      </w:tr>
      <w:tr>
        <w:tc>
          <w:tcPr>
            <w:tcW w:type="dxa" w:w="4000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Original GGUF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3522.9 MB (3.44 GiB)</w:t>
            </w:r>
          </w:p>
        </w:tc>
      </w:tr>
      <w:tr>
        <w:tc>
          <w:tcPr>
            <w:tcW w:type="dxa" w:w="4000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.tesspack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2870 MB (2.80 GiB) — MoE cells only</w:t>
            </w:r>
          </w:p>
        </w:tc>
      </w:tr>
      <w:tr>
        <w:tc>
          <w:tcPr>
            <w:tcW w:type="dxa" w:w="4000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Graft GGUF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3522.9 MB — same as original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4. File Size Relationship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Q: The .tesspack is 2.80 GiB but the GGUF files are 3.44 GiB — how can the output be lossless if the sizes differ?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A: The sizes are expected to differ because each file contains different data: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shd w:fill="1B4F72" w:color="auto" w:val="clea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7000"/>
            <w:shd w:fill="1B4F72" w:color="auto" w:val="clea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20"/>
                <w:szCs w:val="20"/>
              </w:rPr>
              <w:t xml:space="preserve">Original GGUF</w:t>
            </w:r>
          </w:p>
        </w:tc>
        <w:tc>
          <w:tcPr>
            <w:tcW w:type="dxa" w:w="7000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Header (model metadata, tokenizer, KV overrides) + ALL 435 tensors (shared attn + MoE experts)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20"/>
                <w:szCs w:val="20"/>
              </w:rPr>
              <w:t xml:space="preserve">.tesspack</w:t>
            </w:r>
          </w:p>
        </w:tc>
        <w:tc>
          <w:tcPr>
            <w:tcW w:type="dxa" w:w="7000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MoE expert weight cells ONLY (scatter-encoded into 43,596 capos). No header, no shared tensors.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20"/>
                <w:szCs w:val="20"/>
              </w:rPr>
              <w:t xml:space="preserve">Graft GGUF</w:t>
            </w:r>
          </w:p>
        </w:tc>
        <w:tc>
          <w:tcPr>
            <w:tcW w:type="dxa" w:w="7000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Original header + original shared tensors + reassembled MoE tensors from .tesspack = identical to original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The graft process (tesspack_graft.c) works as follows:</w:t>
      </w:r>
    </w:p>
    <w:p>
      <w:pPr>
        <w:spacing w:after="120"/>
      </w:pP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  1. Copy original GGUF header verbatim (metadata, tokenizer, hyperparams)</w:t>
      </w:r>
    </w:p>
    <w:p>
      <w:pPr>
        <w:spacing w:after="120"/>
      </w:pP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  2. For non-MoE tensors: copy directly from original GGUF</w:t>
      </w:r>
    </w:p>
    <w:p>
      <w:pPr>
        <w:spacing w:after="120"/>
      </w:pP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  3. For MoE tensors: load from .tesspack → scatter-decode → write to body</w:t>
      </w:r>
    </w:p>
    <w:p>
      <w:pPr>
        <w:spacing w:after="120"/>
      </w:pP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  4. Output size = original header + original body = same as original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Result: Original GGUF = 3522.9 MB, Graft GGUF = 3522.9 MB (byte-identical size). The .tesspack is smaller because it contains only the MoE weight cells without metadata or shared tensor overhead.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5. Test Results — 11/11 PASS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000"/>
      </w:tblGrid>
      <w:tr>
        <w:tc>
          <w:tcPr>
            <w:tcW w:type="dxa" w:w="1200"/>
            <w:shd w:fill="1B4F72" w:color="auto" w:val="clea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3800"/>
            <w:shd w:fill="1B4F72" w:color="auto" w:val="clea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000"/>
            <w:shd w:fill="1B4F72" w:color="auto" w:val="clea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1200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20"/>
                <w:szCs w:val="20"/>
              </w:rPr>
              <w:t xml:space="preserve">T1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Original GGUF loads via llama_model_load_from_file</w:t>
            </w:r>
          </w:p>
        </w:tc>
        <w:tc>
          <w:tcPr>
            <w:tcW w:type="dxa" w:w="4000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200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20"/>
                <w:szCs w:val="20"/>
              </w:rPr>
              <w:t xml:space="preserve">T2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Graft GGUF loads via llama_model_load_from_file</w:t>
            </w:r>
          </w:p>
        </w:tc>
        <w:tc>
          <w:tcPr>
            <w:tcW w:type="dxa" w:w="4000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200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20"/>
                <w:szCs w:val="20"/>
              </w:rPr>
              <w:t xml:space="preserve">T3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n_embd matches (original = graft = 2560)</w:t>
            </w:r>
          </w:p>
        </w:tc>
        <w:tc>
          <w:tcPr>
            <w:tcW w:type="dxa" w:w="4000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200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20"/>
                <w:szCs w:val="20"/>
              </w:rPr>
              <w:t xml:space="preserve">T4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n_layer matches (original = graft = 36)</w:t>
            </w:r>
          </w:p>
        </w:tc>
        <w:tc>
          <w:tcPr>
            <w:tcW w:type="dxa" w:w="4000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200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20"/>
                <w:szCs w:val="20"/>
              </w:rPr>
              <w:t xml:space="preserve">T5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vocab size matches (original = graft = 151936)</w:t>
            </w:r>
          </w:p>
        </w:tc>
        <w:tc>
          <w:tcPr>
            <w:tcW w:type="dxa" w:w="4000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200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20"/>
                <w:szCs w:val="20"/>
              </w:rPr>
              <w:t xml:space="preserve">T6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llama_context init (512 ctx, CPU)</w:t>
            </w:r>
          </w:p>
        </w:tc>
        <w:tc>
          <w:tcPr>
            <w:tcW w:type="dxa" w:w="4000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200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20"/>
                <w:szCs w:val="20"/>
              </w:rPr>
              <w:t xml:space="preserve">T7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Tokenize prompt: "The capital of France is"</w:t>
            </w:r>
          </w:p>
        </w:tc>
        <w:tc>
          <w:tcPr>
            <w:tcW w:type="dxa" w:w="4000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200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20"/>
                <w:szCs w:val="20"/>
              </w:rPr>
              <w:t xml:space="preserve">T8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Decode prompt on both contexts</w:t>
            </w:r>
          </w:p>
        </w:tc>
        <w:tc>
          <w:tcPr>
            <w:tcW w:type="dxa" w:w="4000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200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20"/>
                <w:szCs w:val="20"/>
              </w:rPr>
              <w:t xml:space="preserve">T9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Logits BITWISE identical (all 151936 dims)</w:t>
            </w:r>
          </w:p>
        </w:tc>
        <w:tc>
          <w:tcPr>
            <w:tcW w:type="dxa" w:w="4000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20"/>
                <w:szCs w:val="20"/>
              </w:rPr>
              <w:t xml:space="preserve">PASS — diffs=0, maxdiff=0.0</w:t>
            </w:r>
          </w:p>
        </w:tc>
      </w:tr>
      <w:tr>
        <w:tc>
          <w:tcPr>
            <w:tcW w:type="dxa" w:w="1200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20"/>
                <w:szCs w:val="20"/>
              </w:rPr>
              <w:t xml:space="preserve">T10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Greedy next token identical</w:t>
            </w:r>
          </w:p>
        </w:tc>
        <w:tc>
          <w:tcPr>
            <w:tcW w:type="dxa" w:w="4000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20"/>
                <w:szCs w:val="20"/>
              </w:rPr>
              <w:t xml:space="preserve">PASS — token=56934</w:t>
            </w:r>
          </w:p>
        </w:tc>
      </w:tr>
      <w:tr>
        <w:tc>
          <w:tcPr>
            <w:tcW w:type="dxa" w:w="1200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20"/>
                <w:szCs w:val="20"/>
              </w:rPr>
              <w:t xml:space="preserve">T11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24-step autoregressive generation</w:t>
            </w:r>
          </w:p>
        </w:tc>
        <w:tc>
          <w:tcPr>
            <w:tcW w:type="dxa" w:w="4000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20"/>
                <w:szCs w:val="20"/>
              </w:rPr>
              <w:t xml:space="preserve">PASS — all tokens identical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6. Key Evidence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T9 — Logits comparison:</w:t>
      </w:r>
    </w:p>
    <w:p>
      <w:pPr>
        <w:spacing w:after="120"/>
      </w:pP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   n_vocab=151936  diffs=0  maxdiff=0.000000e+00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T10 — Greedy next token:</w:t>
      </w:r>
    </w:p>
    <w:p>
      <w:pPr>
        <w:spacing w:after="120"/>
      </w:pP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   original=56934  graft=56934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T11 — 24-token generation (both models):</w:t>
      </w:r>
    </w:p>
    <w:p>
      <w:pPr>
        <w:spacing w:after="120"/>
      </w:pP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   favourites favourites favourites favourites favourites favourites</w:t>
      </w:r>
    </w:p>
    <w:p>
      <w:pPr>
        <w:spacing w:after="120"/>
      </w:pP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   favourites favourites favourites favourites favourites favourites</w:t>
      </w:r>
    </w:p>
    <w:p>
      <w:pPr>
        <w:spacing w:after="120"/>
      </w:pP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   favourites favourites favourites favourites favourites favourites</w:t>
      </w:r>
    </w:p>
    <w:p>
      <w:pPr>
        <w:spacing w:after="120"/>
      </w:pPr>
      <w:r>
        <w:rPr>
          <w:rFonts w:ascii="Consolas" w:cs="Consolas" w:eastAsia="Consolas" w:hAnsi="Consolas"/>
          <w:b w:val="false"/>
          <w:bCs w:val="false"/>
          <w:color w:val="000000"/>
          <w:sz w:val="18"/>
          <w:szCs w:val="18"/>
        </w:rPr>
        <w:t xml:space="preserve">   favourites favourites favourites favourites favourites favourites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555555"/>
          <w:sz w:val="18"/>
          <w:szCs w:val="18"/>
        </w:rPr>
        <w:t xml:space="preserve">   (all 24 tokens identical between original and graft)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7. Geometric Addressing Details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shd w:fill="1B4F72" w:color="auto" w:val="clea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000"/>
            <w:shd w:fill="1B4F72" w:color="auto" w:val="clea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000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Geometry type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6ico compound (GEO_COMPOUND_144)</w:t>
            </w:r>
          </w:p>
        </w:tc>
      </w:tr>
      <w:tr>
        <w:tc>
          <w:tcPr>
            <w:tcW w:type="dxa" w:w="4000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Slots per capo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20736 (144 × 144)</w:t>
            </w:r>
          </w:p>
        </w:tc>
      </w:tr>
      <w:tr>
        <w:tc>
          <w:tcPr>
            <w:tcW w:type="dxa" w:w="4000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Scatter stride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37 (coprime with 144)</w:t>
            </w:r>
          </w:p>
        </w:tc>
      </w:tr>
      <w:tr>
        <w:tc>
          <w:tcPr>
            <w:tcW w:type="dxa" w:w="4000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Total capos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43,596</w:t>
            </w:r>
          </w:p>
        </w:tc>
      </w:tr>
      <w:tr>
        <w:tc>
          <w:tcPr>
            <w:tcW w:type="dxa" w:w="4000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Container format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.tesspack (zip-style, index-at-end)</w:t>
            </w:r>
          </w:p>
        </w:tc>
      </w:tr>
      <w:tr>
        <w:tc>
          <w:tcPr>
            <w:tcW w:type="dxa" w:w="4000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Multi-chunk threshold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&gt;20736 cells → ceil(total/20736) capos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8. Conclusion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The experiment confirms that quantized MoE model weights can be stored in a geometric address space (6ico compound tessellation) and retrieved with 100% bitwise fidelity. The geometric addressing scheme — using coprime stride walks over a fixed 20736-slot capo — provides deterministic, collision-free weight placement without hash functions or lookup tables.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This is the first end-to-end lossless verification of the MAP-not-COMPRESS principle applied to real production model weights (Qwen3-4B-MoE, 4.03B parameters, Q4_K quantization).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AAAAAA"/>
          <w:sz w:val="22"/>
          <w:szCs w:val="22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888888"/>
          <w:sz w:val="16"/>
          <w:szCs w:val="16"/>
        </w:rPr>
        <w:t xml:space="preserve">Generated: 2026-09-03 | DWGLS-native-fs | llama.cpp b9733 | MSYS2 MinGW-w64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2026-09-03T02:06:46.654Z</dcterms:created>
  <dcterms:modified xsi:type="dcterms:W3CDTF">2026-09-03T02:06:46.655Z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