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ym0n7sjm07ry" w:id="0"/>
      <w:bookmarkEnd w:id="0"/>
      <w:r w:rsidDel="00000000" w:rsidR="00000000" w:rsidRPr="00000000">
        <w:rPr>
          <w:rtl w:val="0"/>
        </w:rPr>
        <w:t xml:space="preserve">Анимация блоков сайта: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Баннер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82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Выделенная область круглая - пульсируется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https://codepen.io/seansean11/pen/dhwzj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также скроллится при перемещении пользователя вниз по сайту.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Линии соединяются при наведении на данную область</w:t>
      </w:r>
      <w:r w:rsidDel="00000000" w:rsidR="00000000" w:rsidRPr="00000000">
        <w:rPr/>
        <w:drawing>
          <wp:inline distB="114300" distT="114300" distL="114300" distR="114300">
            <wp:extent cx="5734050" cy="3022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Анимация текста на баннере: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https://codepen.io/marcosleonel/pen/ENYMeq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Категории товаров: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54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Выделенная часть фона - прямоугольник выезжает справа при переходе на данный раздел страницы.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Анимация выделенных линий - на Ваше усмотрение. Возможно,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https://codepen.io/elrumordelaluz/pen/meGGvW</w:t>
        </w:r>
      </w:hyperlink>
      <w:r w:rsidDel="00000000" w:rsidR="00000000" w:rsidRPr="00000000">
        <w:rPr>
          <w:rtl w:val="0"/>
        </w:rPr>
        <w:t xml:space="preserve">. Слишком сложно, но можно что-то подобное, намного проще. 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Блок преимуществ: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257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Поочередное появление каждого раздела “иконка-текст”. На Ваше усмотрение.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Блок товаров: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24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Линия заголовка - анимация (прописана анимашка линий такого плана выше). Также выделенная часть фона - прямоугольник выезжает справа при переходе на данный раздел страницы. Первый товар - эффект при наведении на него мышкой.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hyperlink" Target="https://codepen.io/elrumordelaluz/pen/meGGv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pen.io/marcosleonel/pen/ENYMeq" TargetMode="Externa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hyperlink" Target="https://codepen.io/seansean11/pen/dhwzj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