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ESTATÍSTICO</w:t>
      </w:r>
    </w:p>
    <w:p>
      <w:pPr>
        <w:pStyle w:val="Heading2"/>
        <w:jc w:val="center"/>
      </w:pPr>
      <w:r>
        <w:t>Sistema de Monitoramento de Missões Espaciais</w:t>
      </w:r>
    </w:p>
    <w:p>
      <w:pPr>
        <w:pStyle w:val="Heading2"/>
        <w:jc w:val="center"/>
      </w:pPr>
      <w:r>
        <w:t>SpaceX Missions — 2006 a 2017</w:t>
      </w:r>
    </w:p>
    <w:p/>
    <w:p>
      <w:pPr>
        <w:jc w:val="center"/>
      </w:pPr>
      <w:r>
        <w:t>Fonte: Kaggle — SpaceX Missions Dataset (dados históricos públicos reais)</w:t>
      </w:r>
    </w:p>
    <w:p>
      <w:r>
        <w:br w:type="page"/>
      </w:r>
    </w:p>
    <w:p>
      <w:pPr>
        <w:pStyle w:val="Heading1"/>
        <w:jc w:val="left"/>
      </w:pPr>
      <w:r>
        <w:t>1. Base de Dados e Justificativa</w:t>
      </w:r>
    </w:p>
    <w:p>
      <w:pPr>
        <w:jc w:val="both"/>
      </w:pPr>
      <w:r>
        <w:t>O dataset utilizado é o SpaceX Missions (2006–2017), disponível publicamente na plataforma Kaggle. A base contém 41 registros reais de lançamentos espaciais realizados pela SpaceX, com 16 variáveis incluindo data, veículo, massa da carga útil, órbita alvo, cliente e resultado da missão.</w:t>
      </w:r>
    </w:p>
    <w:p>
      <w:pPr>
        <w:jc w:val="both"/>
      </w:pPr>
      <w:r>
        <w:t>A escolha se justifica pela aderência direta ao contexto da Nova Economia Espacial: o dataset permite analisar a evolução tecnológica de uma empresa privada que transformou o setor espacial, reduzindo custos e aumentando a taxa de sucesso de lançamentos ao longo do tempo. Foram analisadas duas variáveis principais: a massa da carga útil (kg) e a quantidade de lançamentos por ano.</w:t>
      </w:r>
    </w:p>
    <w:p/>
    <w:p>
      <w:pPr>
        <w:pStyle w:val="Heading1"/>
        <w:jc w:val="left"/>
      </w:pPr>
      <w:r>
        <w:t>2. Tabelas de Distribuição de Frequências (Q02)</w:t>
      </w:r>
    </w:p>
    <w:p>
      <w:pPr>
        <w:pStyle w:val="Heading2"/>
        <w:jc w:val="left"/>
      </w:pPr>
      <w:r>
        <w:t>2.1 Tabela A — Lançamentos por Ano (Variável Discreta)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Ano</w:t>
            </w:r>
          </w:p>
        </w:tc>
        <w:tc>
          <w:tcPr>
            <w:tcW w:type="dxa" w:w="1881"/>
          </w:tcPr>
          <w:p>
            <w:r>
              <w:t>fi (Freq. Absoluta)</w:t>
            </w:r>
          </w:p>
        </w:tc>
        <w:tc>
          <w:tcPr>
            <w:tcW w:type="dxa" w:w="1881"/>
          </w:tcPr>
          <w:p>
            <w:r>
              <w:t>fr% (Freq. Relativa)</w:t>
            </w:r>
          </w:p>
        </w:tc>
        <w:tc>
          <w:tcPr>
            <w:tcW w:type="dxa" w:w="1881"/>
          </w:tcPr>
          <w:p>
            <w:r>
              <w:t>Fac (Freq. Acum. Abs.)</w:t>
            </w:r>
          </w:p>
        </w:tc>
        <w:tc>
          <w:tcPr>
            <w:tcW w:type="dxa" w:w="1881"/>
          </w:tcPr>
          <w:p>
            <w:r>
              <w:t>Frc% (Freq. Acum. Rel.)</w:t>
            </w:r>
          </w:p>
        </w:tc>
      </w:tr>
      <w:tr>
        <w:tc>
          <w:tcPr>
            <w:tcW w:type="dxa" w:w="1881"/>
          </w:tcPr>
          <w:p>
            <w:r>
              <w:t>2006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2.44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2.44</w:t>
            </w:r>
          </w:p>
        </w:tc>
      </w:tr>
      <w:tr>
        <w:tc>
          <w:tcPr>
            <w:tcW w:type="dxa" w:w="1881"/>
          </w:tcPr>
          <w:p>
            <w:r>
              <w:t>2007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2.44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4.88</w:t>
            </w:r>
          </w:p>
        </w:tc>
      </w:tr>
      <w:tr>
        <w:tc>
          <w:tcPr>
            <w:tcW w:type="dxa" w:w="1881"/>
          </w:tcPr>
          <w:p>
            <w:r>
              <w:t>2008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9.76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14.64</w:t>
            </w:r>
          </w:p>
        </w:tc>
      </w:tr>
      <w:tr>
        <w:tc>
          <w:tcPr>
            <w:tcW w:type="dxa" w:w="1881"/>
          </w:tcPr>
          <w:p>
            <w:r>
              <w:t>2009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2.44</w:t>
            </w:r>
          </w:p>
        </w:tc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17.08</w:t>
            </w:r>
          </w:p>
        </w:tc>
      </w:tr>
      <w:tr>
        <w:tc>
          <w:tcPr>
            <w:tcW w:type="dxa" w:w="1881"/>
          </w:tcPr>
          <w:p>
            <w:r>
              <w:t>2010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4.88</w:t>
            </w:r>
          </w:p>
        </w:tc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21.96</w:t>
            </w:r>
          </w:p>
        </w:tc>
      </w:tr>
      <w:tr>
        <w:tc>
          <w:tcPr>
            <w:tcW w:type="dxa" w:w="1881"/>
          </w:tcPr>
          <w:p>
            <w:r>
              <w:t>2012</w:t>
            </w:r>
          </w:p>
        </w:tc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7.32</w:t>
            </w:r>
          </w:p>
        </w:tc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29.28</w:t>
            </w:r>
          </w:p>
        </w:tc>
      </w:tr>
      <w:tr>
        <w:tc>
          <w:tcPr>
            <w:tcW w:type="dxa" w:w="1881"/>
          </w:tcPr>
          <w:p>
            <w:r>
              <w:t>2013</w:t>
            </w:r>
          </w:p>
        </w:tc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7.32</w:t>
            </w:r>
          </w:p>
        </w:tc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36.6</w:t>
            </w:r>
          </w:p>
        </w:tc>
      </w:tr>
      <w:tr>
        <w:tc>
          <w:tcPr>
            <w:tcW w:type="dxa" w:w="1881"/>
          </w:tcPr>
          <w:p>
            <w:r>
              <w:t>2014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14.63</w:t>
            </w:r>
          </w:p>
        </w:tc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51.23</w:t>
            </w:r>
          </w:p>
        </w:tc>
      </w:tr>
      <w:tr>
        <w:tc>
          <w:tcPr>
            <w:tcW w:type="dxa" w:w="1881"/>
          </w:tcPr>
          <w:p>
            <w:r>
              <w:t>2015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19.51</w:t>
            </w:r>
          </w:p>
        </w:tc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70.74</w:t>
            </w:r>
          </w:p>
        </w:tc>
      </w:tr>
      <w:tr>
        <w:tc>
          <w:tcPr>
            <w:tcW w:type="dxa" w:w="1881"/>
          </w:tcPr>
          <w:p>
            <w:r>
              <w:t>2016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24.39</w:t>
            </w:r>
          </w:p>
        </w:tc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95.13</w:t>
            </w:r>
          </w:p>
        </w:tc>
      </w:tr>
      <w:tr>
        <w:tc>
          <w:tcPr>
            <w:tcW w:type="dxa" w:w="1881"/>
          </w:tcPr>
          <w:p>
            <w:r>
              <w:t>2017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4.88</w:t>
            </w:r>
          </w:p>
        </w:tc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100.01</w:t>
            </w:r>
          </w:p>
        </w:tc>
      </w:tr>
      <w:tr>
        <w:tc>
          <w:tcPr>
            <w:tcW w:type="dxa" w:w="1881"/>
          </w:tcPr>
          <w:p>
            <w:r>
              <w:t>TOTAL</w:t>
            </w:r>
          </w:p>
        </w:tc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100.00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</w:tbl>
    <w:p>
      <w:pPr>
        <w:jc w:val="both"/>
      </w:pPr>
      <w:r>
        <w:t>Interpretação: O ano de 2016 concentrou o maior número de lançamentos (10 missões, 24,4% do total), evidenciando o pico operacional do Falcon 9 Full Thrust. Os anos de 2006 e 2007 tiveram apenas 1 lançamento cada, período experimental do Falcon 1. A frequência acumulada mostra que até 2014 foram realizados 51,2% de todos os lançamentos do período.</w:t>
      </w:r>
    </w:p>
    <w:p/>
    <w:p>
      <w:pPr>
        <w:pStyle w:val="Heading2"/>
        <w:jc w:val="left"/>
      </w:pPr>
      <w:r>
        <w:t>2.2 Tabela B — Massa da Carga Útil em kg (Variável Contínua)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Classe (kg)</w:t>
            </w:r>
          </w:p>
        </w:tc>
        <w:tc>
          <w:tcPr>
            <w:tcW w:type="dxa" w:w="1881"/>
          </w:tcPr>
          <w:p>
            <w:r>
              <w:t>fi (Freq. Absoluta)</w:t>
            </w:r>
          </w:p>
        </w:tc>
        <w:tc>
          <w:tcPr>
            <w:tcW w:type="dxa" w:w="1881"/>
          </w:tcPr>
          <w:p>
            <w:r>
              <w:t>fr% (Freq. Relativa)</w:t>
            </w:r>
          </w:p>
        </w:tc>
        <w:tc>
          <w:tcPr>
            <w:tcW w:type="dxa" w:w="1881"/>
          </w:tcPr>
          <w:p>
            <w:r>
              <w:t>Fac (Freq. Acum. Abs.)</w:t>
            </w:r>
          </w:p>
        </w:tc>
        <w:tc>
          <w:tcPr>
            <w:tcW w:type="dxa" w:w="1881"/>
          </w:tcPr>
          <w:p>
            <w:r>
              <w:t>Frc% (Freq. Acum. Rel.)</w:t>
            </w:r>
          </w:p>
        </w:tc>
      </w:tr>
      <w:tr>
        <w:tc>
          <w:tcPr>
            <w:tcW w:type="dxa" w:w="1881"/>
          </w:tcPr>
          <w:p>
            <w:r>
              <w:t>(-1.592, 1606.667]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30.3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30.3</w:t>
            </w:r>
          </w:p>
        </w:tc>
      </w:tr>
      <w:tr>
        <w:tc>
          <w:tcPr>
            <w:tcW w:type="dxa" w:w="1881"/>
          </w:tcPr>
          <w:p>
            <w:r>
              <w:t>(1606.667, 3205.333]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30.3</w:t>
            </w:r>
          </w:p>
        </w:tc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60.6</w:t>
            </w:r>
          </w:p>
        </w:tc>
      </w:tr>
      <w:tr>
        <w:tc>
          <w:tcPr>
            <w:tcW w:type="dxa" w:w="1881"/>
          </w:tcPr>
          <w:p>
            <w:r>
              <w:t>(3205.333, 4804.0]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30.3</w:t>
            </w:r>
          </w:p>
        </w:tc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90.9</w:t>
            </w:r>
          </w:p>
        </w:tc>
      </w:tr>
      <w:tr>
        <w:tc>
          <w:tcPr>
            <w:tcW w:type="dxa" w:w="1881"/>
          </w:tcPr>
          <w:p>
            <w:r>
              <w:t>(4804.0, 6402.667]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6.06</w:t>
            </w:r>
          </w:p>
        </w:tc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96.96</w:t>
            </w:r>
          </w:p>
        </w:tc>
      </w:tr>
      <w:tr>
        <w:tc>
          <w:tcPr>
            <w:tcW w:type="dxa" w:w="1881"/>
          </w:tcPr>
          <w:p>
            <w:r>
              <w:t>(6402.667, 8001.333]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0.0</w:t>
            </w:r>
          </w:p>
        </w:tc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96.96</w:t>
            </w:r>
          </w:p>
        </w:tc>
      </w:tr>
      <w:tr>
        <w:tc>
          <w:tcPr>
            <w:tcW w:type="dxa" w:w="1881"/>
          </w:tcPr>
          <w:p>
            <w:r>
              <w:t>(8001.333, 9600.0]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3.03</w:t>
            </w:r>
          </w:p>
        </w:tc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99.99</w:t>
            </w:r>
          </w:p>
        </w:tc>
      </w:tr>
      <w:tr>
        <w:tc>
          <w:tcPr>
            <w:tcW w:type="dxa" w:w="1881"/>
          </w:tcPr>
          <w:p>
            <w:r>
              <w:t>TOTAL</w:t>
            </w:r>
          </w:p>
        </w:tc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100.00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</w:tbl>
    <w:p>
      <w:pPr>
        <w:jc w:val="both"/>
      </w:pPr>
      <w:r>
        <w:t>Interpretação: As três primeiras classes (8 a 4.804 kg) concentram 90,9% das missões, mostrando que a maioria das cargas são satélites leves ou de médio porte para órbita baixa (LEO). Apenas 1 missão (3%) carregou mais de 8.001 kg, configurando uma carga atípica de alto valor. A Regra de Sturges definiu k = 6 classes para n = 33 registros válidos.</w:t>
      </w:r>
    </w:p>
    <w:p/>
    <w:p>
      <w:pPr>
        <w:pStyle w:val="Heading1"/>
        <w:jc w:val="left"/>
      </w:pPr>
      <w:r>
        <w:t>3. Análise dos Gráficos (Q03)</w:t>
      </w:r>
    </w:p>
    <w:p>
      <w:pPr>
        <w:pStyle w:val="Heading2"/>
        <w:jc w:val="left"/>
      </w:pPr>
      <w:r>
        <w:t>3.1 Gráfico 1 — Resultado das Missões</w:t>
      </w:r>
    </w:p>
    <w:p>
      <w:r>
        <w:drawing>
          <wp:inline xmlns:a="http://schemas.openxmlformats.org/drawingml/2006/main" xmlns:pic="http://schemas.openxmlformats.org/drawingml/2006/picture">
            <wp:extent cx="7290816" cy="459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1_resultado_miss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0816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Das 41 missões analisadas, 33 foram bem-sucedidas (80,5%) e 8 resultaram em falha (19,5%). As falhas se concentram nas missões iniciais do Falcon 1 (2006–2008), enquanto o Falcon 9 atingiu mais de 90% de sucesso. Para o sistema de monitoramento, a taxa de sucesso é o KPI principal de confiabilidade operacional.</w:t>
      </w:r>
    </w:p>
    <w:p/>
    <w:p>
      <w:pPr>
        <w:pStyle w:val="Heading2"/>
        <w:jc w:val="left"/>
      </w:pPr>
      <w:r>
        <w:t>3.2 Gráfico 2 — Lançamentos por Ano</w:t>
      </w:r>
    </w:p>
    <w:p>
      <w:r>
        <w:drawing>
          <wp:inline xmlns:a="http://schemas.openxmlformats.org/drawingml/2006/main" xmlns:pic="http://schemas.openxmlformats.org/drawingml/2006/picture">
            <wp:extent cx="10911840" cy="5492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2_lancamentos_por_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0" cy="549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O gráfico revela crescimento contínuo: de 1 lançamento em 2006 para 10 em 2016, representando aumento de 900% na capacidade operacional. A proporção de sucessos cresce visivelmente ao longo dos anos, enquanto as falhas ficam concentradas no início. Esse padrão confirma a maturação tecnológica da empresa.</w:t>
      </w:r>
    </w:p>
    <w:p/>
    <w:p>
      <w:pPr>
        <w:pStyle w:val="Heading1"/>
        <w:jc w:val="left"/>
      </w:pPr>
      <w:r>
        <w:t>4. Estatística Descritiva — Análises Univariadas (Q04)</w:t>
      </w:r>
    </w:p>
    <w:p>
      <w:pPr>
        <w:pStyle w:val="Heading2"/>
        <w:jc w:val="left"/>
      </w:pPr>
      <w:r>
        <w:t>4.1 Análise 1 — Massa da Carga Útil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Medida</w:t>
            </w:r>
          </w:p>
        </w:tc>
        <w:tc>
          <w:tcPr>
            <w:tcW w:type="dxa" w:w="4702"/>
          </w:tcPr>
          <w:p>
            <w:r>
              <w:t>Valor</w:t>
            </w:r>
          </w:p>
        </w:tc>
      </w:tr>
      <w:tr>
        <w:tc>
          <w:tcPr>
            <w:tcW w:type="dxa" w:w="4702"/>
          </w:tcPr>
          <w:p>
            <w:r>
              <w:t>n (registros válidos)</w:t>
            </w:r>
          </w:p>
        </w:tc>
        <w:tc>
          <w:tcPr>
            <w:tcW w:type="dxa" w:w="4702"/>
          </w:tcPr>
          <w:p>
            <w:r>
              <w:t>33</w:t>
            </w:r>
          </w:p>
        </w:tc>
      </w:tr>
      <w:tr>
        <w:tc>
          <w:tcPr>
            <w:tcW w:type="dxa" w:w="4702"/>
          </w:tcPr>
          <w:p>
            <w:r>
              <w:t>Média</w:t>
            </w:r>
          </w:p>
        </w:tc>
        <w:tc>
          <w:tcPr>
            <w:tcW w:type="dxa" w:w="4702"/>
          </w:tcPr>
          <w:p>
            <w:r>
              <w:t>2739.77 kg</w:t>
            </w:r>
          </w:p>
        </w:tc>
      </w:tr>
      <w:tr>
        <w:tc>
          <w:tcPr>
            <w:tcW w:type="dxa" w:w="4702"/>
          </w:tcPr>
          <w:p>
            <w:r>
              <w:t>Mediana</w:t>
            </w:r>
          </w:p>
        </w:tc>
        <w:tc>
          <w:tcPr>
            <w:tcW w:type="dxa" w:w="4702"/>
          </w:tcPr>
          <w:p>
            <w:r>
              <w:t>2490.00 kg</w:t>
            </w:r>
          </w:p>
        </w:tc>
      </w:tr>
      <w:tr>
        <w:tc>
          <w:tcPr>
            <w:tcW w:type="dxa" w:w="4702"/>
          </w:tcPr>
          <w:p>
            <w:r>
              <w:t>Moda</w:t>
            </w:r>
          </w:p>
        </w:tc>
        <w:tc>
          <w:tcPr>
            <w:tcW w:type="dxa" w:w="4702"/>
          </w:tcPr>
          <w:p>
            <w:r>
              <w:t>500.00 kg</w:t>
            </w:r>
          </w:p>
        </w:tc>
      </w:tr>
      <w:tr>
        <w:tc>
          <w:tcPr>
            <w:tcW w:type="dxa" w:w="4702"/>
          </w:tcPr>
          <w:p>
            <w:r>
              <w:t>Mínimo</w:t>
            </w:r>
          </w:p>
        </w:tc>
        <w:tc>
          <w:tcPr>
            <w:tcW w:type="dxa" w:w="4702"/>
          </w:tcPr>
          <w:p>
            <w:r>
              <w:t>8.00 kg</w:t>
            </w:r>
          </w:p>
        </w:tc>
      </w:tr>
      <w:tr>
        <w:tc>
          <w:tcPr>
            <w:tcW w:type="dxa" w:w="4702"/>
          </w:tcPr>
          <w:p>
            <w:r>
              <w:t>Máximo</w:t>
            </w:r>
          </w:p>
        </w:tc>
        <w:tc>
          <w:tcPr>
            <w:tcW w:type="dxa" w:w="4702"/>
          </w:tcPr>
          <w:p>
            <w:r>
              <w:t>9600.00 kg</w:t>
            </w:r>
          </w:p>
        </w:tc>
      </w:tr>
      <w:tr>
        <w:tc>
          <w:tcPr>
            <w:tcW w:type="dxa" w:w="4702"/>
          </w:tcPr>
          <w:p>
            <w:r>
              <w:t>Amplitude</w:t>
            </w:r>
          </w:p>
        </w:tc>
        <w:tc>
          <w:tcPr>
            <w:tcW w:type="dxa" w:w="4702"/>
          </w:tcPr>
          <w:p>
            <w:r>
              <w:t>9592.00 kg</w:t>
            </w:r>
          </w:p>
        </w:tc>
      </w:tr>
      <w:tr>
        <w:tc>
          <w:tcPr>
            <w:tcW w:type="dxa" w:w="4702"/>
          </w:tcPr>
          <w:p>
            <w:r>
              <w:t>Variância (s²)</w:t>
            </w:r>
          </w:p>
        </w:tc>
        <w:tc>
          <w:tcPr>
            <w:tcW w:type="dxa" w:w="4702"/>
          </w:tcPr>
          <w:p>
            <w:r>
              <w:t>4543304.92</w:t>
            </w:r>
          </w:p>
        </w:tc>
      </w:tr>
      <w:tr>
        <w:tc>
          <w:tcPr>
            <w:tcW w:type="dxa" w:w="4702"/>
          </w:tcPr>
          <w:p>
            <w:r>
              <w:t>Desvio Padrão (s)</w:t>
            </w:r>
          </w:p>
        </w:tc>
        <w:tc>
          <w:tcPr>
            <w:tcW w:type="dxa" w:w="4702"/>
          </w:tcPr>
          <w:p>
            <w:r>
              <w:t>2131.50 kg</w:t>
            </w:r>
          </w:p>
        </w:tc>
      </w:tr>
      <w:tr>
        <w:tc>
          <w:tcPr>
            <w:tcW w:type="dxa" w:w="4702"/>
          </w:tcPr>
          <w:p>
            <w:r>
              <w:t>Coef. de Variação (CV)</w:t>
            </w:r>
          </w:p>
        </w:tc>
        <w:tc>
          <w:tcPr>
            <w:tcW w:type="dxa" w:w="4702"/>
          </w:tcPr>
          <w:p>
            <w:r>
              <w:t>77.80%</w:t>
            </w:r>
          </w:p>
        </w:tc>
      </w:tr>
      <w:tr>
        <w:tc>
          <w:tcPr>
            <w:tcW w:type="dxa" w:w="4702"/>
          </w:tcPr>
          <w:p>
            <w:r>
              <w:t>Q1 — 25%</w:t>
            </w:r>
          </w:p>
        </w:tc>
        <w:tc>
          <w:tcPr>
            <w:tcW w:type="dxa" w:w="4702"/>
          </w:tcPr>
          <w:p>
            <w:r>
              <w:t>570.00 kg</w:t>
            </w:r>
          </w:p>
        </w:tc>
      </w:tr>
      <w:tr>
        <w:tc>
          <w:tcPr>
            <w:tcW w:type="dxa" w:w="4702"/>
          </w:tcPr>
          <w:p>
            <w:r>
              <w:t>Q2 — 50% (mediana)</w:t>
            </w:r>
          </w:p>
        </w:tc>
        <w:tc>
          <w:tcPr>
            <w:tcW w:type="dxa" w:w="4702"/>
          </w:tcPr>
          <w:p>
            <w:r>
              <w:t>2490.00 kg</w:t>
            </w:r>
          </w:p>
        </w:tc>
      </w:tr>
      <w:tr>
        <w:tc>
          <w:tcPr>
            <w:tcW w:type="dxa" w:w="4702"/>
          </w:tcPr>
          <w:p>
            <w:r>
              <w:t>Q3 — 75%</w:t>
            </w:r>
          </w:p>
        </w:tc>
        <w:tc>
          <w:tcPr>
            <w:tcW w:type="dxa" w:w="4702"/>
          </w:tcPr>
          <w:p>
            <w:r>
              <w:t>4159.00 kg</w:t>
            </w:r>
          </w:p>
        </w:tc>
      </w:tr>
      <w:tr>
        <w:tc>
          <w:tcPr>
            <w:tcW w:type="dxa" w:w="4702"/>
          </w:tcPr>
          <w:p>
            <w:r>
              <w:t>IQR (Q3 - Q1)</w:t>
            </w:r>
          </w:p>
        </w:tc>
        <w:tc>
          <w:tcPr>
            <w:tcW w:type="dxa" w:w="4702"/>
          </w:tcPr>
          <w:p>
            <w:r>
              <w:t>3589.00 kg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82768" cy="3986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mas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768" cy="398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Interpretação: A média de 2.739 kg é maior que a mediana de 2.490 kg, indicando assimetria positiva — algumas cargas muito pesadas puxam a média para cima. O CV de 77,8% confirma alta dispersão, reflexo do portfólio diversificado de clientes. O IQR mostra que 50% das missões carregam entre 570 e 4.159 kg — faixa nominal para calibrar alertas do sistema de monitoramento.</w:t>
      </w:r>
    </w:p>
    <w:p/>
    <w:p>
      <w:pPr>
        <w:pStyle w:val="Heading2"/>
        <w:jc w:val="left"/>
      </w:pPr>
      <w:r>
        <w:t>4.2 Análise 2 — Lançamentos por 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Medida</w:t>
            </w:r>
          </w:p>
        </w:tc>
        <w:tc>
          <w:tcPr>
            <w:tcW w:type="dxa" w:w="4702"/>
          </w:tcPr>
          <w:p>
            <w:r>
              <w:t>Valor</w:t>
            </w:r>
          </w:p>
        </w:tc>
      </w:tr>
      <w:tr>
        <w:tc>
          <w:tcPr>
            <w:tcW w:type="dxa" w:w="4702"/>
          </w:tcPr>
          <w:p>
            <w:r>
              <w:t>n (anos analisados)</w:t>
            </w:r>
          </w:p>
        </w:tc>
        <w:tc>
          <w:tcPr>
            <w:tcW w:type="dxa" w:w="4702"/>
          </w:tcPr>
          <w:p>
            <w:r>
              <w:t>11</w:t>
            </w:r>
          </w:p>
        </w:tc>
      </w:tr>
      <w:tr>
        <w:tc>
          <w:tcPr>
            <w:tcW w:type="dxa" w:w="4702"/>
          </w:tcPr>
          <w:p>
            <w:r>
              <w:t>Média</w:t>
            </w:r>
          </w:p>
        </w:tc>
        <w:tc>
          <w:tcPr>
            <w:tcW w:type="dxa" w:w="4702"/>
          </w:tcPr>
          <w:p>
            <w:r>
              <w:t>3.73 missões/ano</w:t>
            </w:r>
          </w:p>
        </w:tc>
      </w:tr>
      <w:tr>
        <w:tc>
          <w:tcPr>
            <w:tcW w:type="dxa" w:w="4702"/>
          </w:tcPr>
          <w:p>
            <w:r>
              <w:t>Mediana</w:t>
            </w:r>
          </w:p>
        </w:tc>
        <w:tc>
          <w:tcPr>
            <w:tcW w:type="dxa" w:w="4702"/>
          </w:tcPr>
          <w:p>
            <w:r>
              <w:t>3.00 missões/ano</w:t>
            </w:r>
          </w:p>
        </w:tc>
      </w:tr>
      <w:tr>
        <w:tc>
          <w:tcPr>
            <w:tcW w:type="dxa" w:w="4702"/>
          </w:tcPr>
          <w:p>
            <w:r>
              <w:t>Moda</w:t>
            </w:r>
          </w:p>
        </w:tc>
        <w:tc>
          <w:tcPr>
            <w:tcW w:type="dxa" w:w="4702"/>
          </w:tcPr>
          <w:p>
            <w:r>
              <w:t>1.00 missões/ano</w:t>
            </w:r>
          </w:p>
        </w:tc>
      </w:tr>
      <w:tr>
        <w:tc>
          <w:tcPr>
            <w:tcW w:type="dxa" w:w="4702"/>
          </w:tcPr>
          <w:p>
            <w:r>
              <w:t>Mínimo</w:t>
            </w:r>
          </w:p>
        </w:tc>
        <w:tc>
          <w:tcPr>
            <w:tcW w:type="dxa" w:w="4702"/>
          </w:tcPr>
          <w:p>
            <w:r>
              <w:t>1 missão/ano</w:t>
            </w:r>
          </w:p>
        </w:tc>
      </w:tr>
      <w:tr>
        <w:tc>
          <w:tcPr>
            <w:tcW w:type="dxa" w:w="4702"/>
          </w:tcPr>
          <w:p>
            <w:r>
              <w:t>Máximo</w:t>
            </w:r>
          </w:p>
        </w:tc>
        <w:tc>
          <w:tcPr>
            <w:tcW w:type="dxa" w:w="4702"/>
          </w:tcPr>
          <w:p>
            <w:r>
              <w:t>10 missões/ano</w:t>
            </w:r>
          </w:p>
        </w:tc>
      </w:tr>
      <w:tr>
        <w:tc>
          <w:tcPr>
            <w:tcW w:type="dxa" w:w="4702"/>
          </w:tcPr>
          <w:p>
            <w:r>
              <w:t>Amplitude</w:t>
            </w:r>
          </w:p>
        </w:tc>
        <w:tc>
          <w:tcPr>
            <w:tcW w:type="dxa" w:w="4702"/>
          </w:tcPr>
          <w:p>
            <w:r>
              <w:t>9 missões</w:t>
            </w:r>
          </w:p>
        </w:tc>
      </w:tr>
      <w:tr>
        <w:tc>
          <w:tcPr>
            <w:tcW w:type="dxa" w:w="4702"/>
          </w:tcPr>
          <w:p>
            <w:r>
              <w:t>Variância (s²)</w:t>
            </w:r>
          </w:p>
        </w:tc>
        <w:tc>
          <w:tcPr>
            <w:tcW w:type="dxa" w:w="4702"/>
          </w:tcPr>
          <w:p>
            <w:r>
              <w:t>9.22</w:t>
            </w:r>
          </w:p>
        </w:tc>
      </w:tr>
      <w:tr>
        <w:tc>
          <w:tcPr>
            <w:tcW w:type="dxa" w:w="4702"/>
          </w:tcPr>
          <w:p>
            <w:r>
              <w:t>Desvio Padrão (s)</w:t>
            </w:r>
          </w:p>
        </w:tc>
        <w:tc>
          <w:tcPr>
            <w:tcW w:type="dxa" w:w="4702"/>
          </w:tcPr>
          <w:p>
            <w:r>
              <w:t>3.04 missões/ano</w:t>
            </w:r>
          </w:p>
        </w:tc>
      </w:tr>
      <w:tr>
        <w:tc>
          <w:tcPr>
            <w:tcW w:type="dxa" w:w="4702"/>
          </w:tcPr>
          <w:p>
            <w:r>
              <w:t>Coef. de Variação (CV)</w:t>
            </w:r>
          </w:p>
        </w:tc>
        <w:tc>
          <w:tcPr>
            <w:tcW w:type="dxa" w:w="4702"/>
          </w:tcPr>
          <w:p>
            <w:r>
              <w:t>81.46%</w:t>
            </w:r>
          </w:p>
        </w:tc>
      </w:tr>
      <w:tr>
        <w:tc>
          <w:tcPr>
            <w:tcW w:type="dxa" w:w="4702"/>
          </w:tcPr>
          <w:p>
            <w:r>
              <w:t>Q1 — 25%</w:t>
            </w:r>
          </w:p>
        </w:tc>
        <w:tc>
          <w:tcPr>
            <w:tcW w:type="dxa" w:w="4702"/>
          </w:tcPr>
          <w:p>
            <w:r>
              <w:t>1.50 missões/ano</w:t>
            </w:r>
          </w:p>
        </w:tc>
      </w:tr>
      <w:tr>
        <w:tc>
          <w:tcPr>
            <w:tcW w:type="dxa" w:w="4702"/>
          </w:tcPr>
          <w:p>
            <w:r>
              <w:t>Q2 — 50% (mediana)</w:t>
            </w:r>
          </w:p>
        </w:tc>
        <w:tc>
          <w:tcPr>
            <w:tcW w:type="dxa" w:w="4702"/>
          </w:tcPr>
          <w:p>
            <w:r>
              <w:t>3.00 missões/ano</w:t>
            </w:r>
          </w:p>
        </w:tc>
      </w:tr>
      <w:tr>
        <w:tc>
          <w:tcPr>
            <w:tcW w:type="dxa" w:w="4702"/>
          </w:tcPr>
          <w:p>
            <w:r>
              <w:t>Q3 — 75%</w:t>
            </w:r>
          </w:p>
        </w:tc>
        <w:tc>
          <w:tcPr>
            <w:tcW w:type="dxa" w:w="4702"/>
          </w:tcPr>
          <w:p>
            <w:r>
              <w:t>5.00 missões/ano</w:t>
            </w:r>
          </w:p>
        </w:tc>
      </w:tr>
      <w:tr>
        <w:tc>
          <w:tcPr>
            <w:tcW w:type="dxa" w:w="4702"/>
          </w:tcPr>
          <w:p>
            <w:r>
              <w:t>IQR (Q3 - Q1)</w:t>
            </w:r>
          </w:p>
        </w:tc>
        <w:tc>
          <w:tcPr>
            <w:tcW w:type="dxa" w:w="4702"/>
          </w:tcPr>
          <w:p>
            <w:r>
              <w:t>3.50 missões/ano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138928" cy="3962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lanca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9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Interpretação: A média de 3,7 lançamentos/ano esconde grande variação (CV = 81,5%), pois a cadência cresceu de 1 para 10 missões/ano. O Q3 de 5 lançamentos/ano indica que 75% dos anos ficaram abaixo de 5 missões — com os últimos anos superando esse patamar, sinal claro de aceleração operacional.</w:t>
      </w:r>
    </w:p>
    <w:p/>
    <w:p>
      <w:pPr>
        <w:pStyle w:val="Heading1"/>
        <w:jc w:val="left"/>
      </w:pPr>
      <w:r>
        <w:t>5. Insights — Inteligência Acionável (Q05)</w:t>
      </w:r>
    </w:p>
    <w:p>
      <w:pPr>
        <w:jc w:val="both"/>
      </w:pPr>
      <w:r>
        <w:t>INSIGHT 1 — Maturação Tecnológica Acelerada: A taxa de sucesso saltou de 0% nas primeiras missões do Falcon 1 (2006–2008) para mais de 90% no Falcon 9 Full Thrust (2015–2017). Em menos de 10 anos, a SpaceX demonstrou que modelos de desenvolvimento iterativo e falha rápida são viáveis na indústria espacial privada.</w:t>
      </w:r>
    </w:p>
    <w:p>
      <w:pPr>
        <w:jc w:val="both"/>
      </w:pPr>
      <w:r>
        <w:t>INSIGHT 2 — Crescimento Operacional de 900%: O aumento de 1 para 10 lançamentos/ano entre 2006 e 2016 evidencia que a privatização reduziu as barreiras de acesso ao espaço. Para a Nova Economia Espacial, isso representa oportunidades em satélites de observação, IoT orbital e telecomunicações.</w:t>
      </w:r>
    </w:p>
    <w:p>
      <w:pPr>
        <w:jc w:val="both"/>
      </w:pPr>
      <w:r>
        <w:t>INSIGHT 3 — Heterogeneidade de Cargas como Indicador de Mercado: O CV de 77,8% na massa das cargas revela portfólio diversificado. Missões com cargas acima de 4.159 kg (Q3) são tipicamente satélites GEO de alto valor — segmento que demanda maior confiabilidade e justifica investimentos em sistemas de monitoramento em tempo real.</w:t>
      </w:r>
    </w:p>
    <w:p>
      <w:pPr>
        <w:jc w:val="both"/>
      </w:pPr>
      <w:r>
        <w:t>INSIGHT 4 — Parâmetros para o Sistema de Monitoramento: As medidas descritivas calculadas fornecem a base para calibrar alertas automáticos: faixa nominal de massa (570–4.159 kg), cadência esperada (~4 missões/ano) e taxa histórica de sucesso (80,5%) permitem detectar anomalias operacionais em missões futuras.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