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19D48695" w:rsidR="00B14648" w:rsidRDefault="00B14648">
      <w:pPr>
        <w:jc w:val="right"/>
      </w:pPr>
    </w:p>
    <w:p w14:paraId="00000002" w14:textId="18D5C43B" w:rsidR="00B14648" w:rsidRDefault="005E6EE2">
      <w:pPr>
        <w:pStyle w:val="Title"/>
      </w:pPr>
      <w:r>
        <w:t xml:space="preserve">Security Operating Procedure </w:t>
      </w:r>
    </w:p>
    <w:p w14:paraId="49DA4544" w14:textId="77777777" w:rsidR="00585C51" w:rsidRDefault="00585C51" w:rsidP="00585C51">
      <w:pPr>
        <w:rPr>
          <w:rFonts w:ascii="Roboto" w:eastAsia="Roboto" w:hAnsi="Roboto" w:cs="Roboto"/>
        </w:rPr>
      </w:pPr>
    </w:p>
    <w:tbl>
      <w:tblPr>
        <w:tblStyle w:val="a5"/>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6840"/>
      </w:tblGrid>
      <w:tr w:rsidR="00585C51" w14:paraId="39F3C636" w14:textId="77777777" w:rsidTr="0008023E">
        <w:trPr>
          <w:trHeight w:val="380"/>
        </w:trPr>
        <w:tc>
          <w:tcPr>
            <w:tcW w:w="2160" w:type="dxa"/>
            <w:tcBorders>
              <w:top w:val="single" w:sz="4" w:space="0" w:color="0F9ED5"/>
              <w:left w:val="single" w:sz="4" w:space="0" w:color="0F9ED5"/>
              <w:bottom w:val="single" w:sz="4" w:space="0" w:color="0F9ED5" w:themeColor="accent4"/>
              <w:right w:val="single" w:sz="4" w:space="0" w:color="FFFFFF" w:themeColor="background1"/>
            </w:tcBorders>
            <w:shd w:val="clear" w:color="auto" w:fill="0F9ED5" w:themeFill="accent4"/>
            <w:tcMar>
              <w:top w:w="100" w:type="dxa"/>
              <w:left w:w="100" w:type="dxa"/>
              <w:bottom w:w="100" w:type="dxa"/>
              <w:right w:w="100" w:type="dxa"/>
            </w:tcMar>
          </w:tcPr>
          <w:p w14:paraId="55A015EC" w14:textId="77777777" w:rsidR="00585C51" w:rsidRPr="0008023E" w:rsidRDefault="00585C51" w:rsidP="00C47D15">
            <w:pPr>
              <w:rPr>
                <w:rFonts w:eastAsia="Roboto"/>
                <w:b/>
                <w:bCs/>
                <w:color w:val="FFFFFF" w:themeColor="background1"/>
              </w:rPr>
            </w:pPr>
            <w:r w:rsidRPr="0008023E">
              <w:rPr>
                <w:rFonts w:eastAsia="Roboto"/>
                <w:b/>
                <w:bCs/>
                <w:color w:val="FFFFFF" w:themeColor="background1"/>
              </w:rPr>
              <w:t>Procedure Name</w:t>
            </w:r>
          </w:p>
        </w:tc>
        <w:tc>
          <w:tcPr>
            <w:tcW w:w="6840" w:type="dxa"/>
            <w:tcBorders>
              <w:top w:val="single" w:sz="4" w:space="0" w:color="0F9ED5" w:themeColor="accent4"/>
              <w:left w:val="single" w:sz="4" w:space="0" w:color="FFFFFF" w:themeColor="background1"/>
              <w:bottom w:val="single" w:sz="4" w:space="0" w:color="0F9ED5" w:themeColor="accent4"/>
              <w:right w:val="single" w:sz="4" w:space="0" w:color="0F9ED5" w:themeColor="accent4"/>
            </w:tcBorders>
            <w:shd w:val="clear" w:color="auto" w:fill="auto"/>
            <w:tcMar>
              <w:top w:w="100" w:type="dxa"/>
              <w:left w:w="100" w:type="dxa"/>
              <w:bottom w:w="100" w:type="dxa"/>
              <w:right w:w="100" w:type="dxa"/>
            </w:tcMar>
          </w:tcPr>
          <w:p>
            <w:r>
              <w:t>Security Operating Procedures for IT Management (Digital Channels)</w:t>
            </w:r>
          </w:p>
        </w:tc>
      </w:tr>
    </w:tbl>
    <w:p w14:paraId="00000003" w14:textId="1D6F746A" w:rsidR="00B14648" w:rsidRDefault="00B14648">
      <w:pPr>
        <w:rPr>
          <w:color w:val="00AFF0"/>
          <w:sz w:val="28"/>
          <w:szCs w:val="28"/>
        </w:rPr>
      </w:pPr>
    </w:p>
    <w:tbl>
      <w:tblPr>
        <w:tblStyle w:val="GridTable4-Accent4"/>
        <w:tblW w:w="0" w:type="auto"/>
        <w:tblLook w:val="06A0" w:firstRow="1" w:lastRow="0" w:firstColumn="1" w:lastColumn="0" w:noHBand="1" w:noVBand="1"/>
      </w:tblPr>
      <w:tblGrid>
        <w:gridCol w:w="914"/>
        <w:gridCol w:w="1129"/>
        <w:gridCol w:w="1234"/>
        <w:gridCol w:w="1158"/>
        <w:gridCol w:w="1409"/>
        <w:gridCol w:w="1263"/>
        <w:gridCol w:w="1909"/>
      </w:tblGrid>
      <w:tr w:rsidR="00B35955" w:rsidRPr="00995854" w14:paraId="16366E7D" w14:textId="77777777" w:rsidTr="00C47D15">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157750A" w14:textId="77777777" w:rsidR="00B35955" w:rsidRPr="00995854" w:rsidRDefault="00B35955" w:rsidP="00C47D15">
            <w:pPr>
              <w:rPr>
                <w:rFonts w:ascii="Calibri" w:eastAsia="Calibri" w:hAnsi="Calibri" w:cs="Calibri"/>
              </w:rPr>
            </w:pPr>
            <w:r w:rsidRPr="00995854">
              <w:rPr>
                <w:rFonts w:ascii="Calibri" w:eastAsia="Calibri" w:hAnsi="Calibri" w:cs="Calibri"/>
                <w:lang w:val="en-US"/>
              </w:rPr>
              <w:t xml:space="preserve">Version </w:t>
            </w:r>
          </w:p>
        </w:tc>
        <w:tc>
          <w:tcPr>
            <w:tcW w:w="11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331DD3F" w14:textId="77777777" w:rsidR="00B35955" w:rsidRPr="00550941" w:rsidRDefault="00B35955" w:rsidP="00C47D15">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lang w:val="en-US"/>
              </w:rPr>
            </w:pPr>
            <w:r w:rsidRPr="00995854">
              <w:rPr>
                <w:rFonts w:ascii="Calibri" w:eastAsia="Calibri" w:hAnsi="Calibri" w:cs="Calibri"/>
                <w:lang w:val="en-US"/>
              </w:rPr>
              <w:t xml:space="preserve">Approved </w:t>
            </w:r>
            <w:r>
              <w:rPr>
                <w:rFonts w:ascii="Calibri" w:eastAsia="Calibri" w:hAnsi="Calibri" w:cs="Calibri"/>
                <w:lang w:val="en-US"/>
              </w:rPr>
              <w:t>B</w:t>
            </w:r>
            <w:r w:rsidRPr="00995854">
              <w:rPr>
                <w:rFonts w:ascii="Calibri" w:eastAsia="Calibri" w:hAnsi="Calibri" w:cs="Calibri"/>
                <w:lang w:val="en-US"/>
              </w:rPr>
              <w:t>y</w:t>
            </w:r>
          </w:p>
        </w:tc>
        <w:tc>
          <w:tcPr>
            <w:tcW w:w="124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B0180D8" w14:textId="77777777" w:rsidR="00B35955" w:rsidRPr="00995854" w:rsidRDefault="00B35955" w:rsidP="00C47D15">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Owner</w:t>
            </w:r>
          </w:p>
        </w:tc>
        <w:tc>
          <w:tcPr>
            <w:tcW w:w="11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3B8B8D6" w14:textId="77777777" w:rsidR="00B35955" w:rsidRPr="00995854" w:rsidRDefault="00B35955" w:rsidP="00C47D15">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 xml:space="preserve">Date </w:t>
            </w:r>
            <w:r>
              <w:rPr>
                <w:rFonts w:ascii="Calibri" w:eastAsia="Calibri" w:hAnsi="Calibri" w:cs="Calibri"/>
                <w:lang w:val="en-US"/>
              </w:rPr>
              <w:t>L</w:t>
            </w:r>
            <w:r w:rsidRPr="00995854">
              <w:rPr>
                <w:rFonts w:ascii="Calibri" w:eastAsia="Calibri" w:hAnsi="Calibri" w:cs="Calibri"/>
                <w:lang w:val="en-US"/>
              </w:rPr>
              <w:t xml:space="preserve">ast </w:t>
            </w:r>
            <w:r>
              <w:rPr>
                <w:rFonts w:ascii="Calibri" w:eastAsia="Calibri" w:hAnsi="Calibri" w:cs="Calibri"/>
                <w:lang w:val="en-US"/>
              </w:rPr>
              <w:t>U</w:t>
            </w:r>
            <w:r w:rsidRPr="00995854">
              <w:rPr>
                <w:rFonts w:ascii="Calibri" w:eastAsia="Calibri" w:hAnsi="Calibri" w:cs="Calibri"/>
                <w:lang w:val="en-US"/>
              </w:rPr>
              <w:t>pdated</w:t>
            </w:r>
          </w:p>
          <w:p w14:paraId="30979F78" w14:textId="77777777" w:rsidR="00B35955" w:rsidRPr="00995854" w:rsidRDefault="00B35955" w:rsidP="00C47D15">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 xml:space="preserve"> </w:t>
            </w:r>
          </w:p>
        </w:tc>
        <w:tc>
          <w:tcPr>
            <w:tcW w:w="14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3CD7B23" w14:textId="77777777" w:rsidR="00B35955" w:rsidRPr="00995854" w:rsidRDefault="00B35955" w:rsidP="00C47D15">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Review Frequency</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F9BE90" w14:textId="77777777" w:rsidR="00B35955" w:rsidRPr="00995854" w:rsidRDefault="00B35955" w:rsidP="00C47D15">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 xml:space="preserve">Next </w:t>
            </w:r>
            <w:r>
              <w:rPr>
                <w:rFonts w:ascii="Calibri" w:eastAsia="Calibri" w:hAnsi="Calibri" w:cs="Calibri"/>
                <w:lang w:val="en-US"/>
              </w:rPr>
              <w:t>R</w:t>
            </w:r>
            <w:r w:rsidRPr="00995854">
              <w:rPr>
                <w:rFonts w:ascii="Calibri" w:eastAsia="Calibri" w:hAnsi="Calibri" w:cs="Calibri"/>
                <w:lang w:val="en-US"/>
              </w:rPr>
              <w:t xml:space="preserve">eview </w:t>
            </w:r>
          </w:p>
        </w:tc>
        <w:tc>
          <w:tcPr>
            <w:tcW w:w="193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41073C7" w14:textId="77777777" w:rsidR="00B35955" w:rsidRPr="00670232" w:rsidRDefault="00B35955" w:rsidP="00C47D15">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lang w:val="en-US"/>
              </w:rPr>
            </w:pPr>
            <w:r w:rsidRPr="00670232">
              <w:rPr>
                <w:rFonts w:ascii="Calibri" w:eastAsia="Calibri" w:hAnsi="Calibri" w:cs="Calibri"/>
                <w:lang w:val="en-US"/>
              </w:rPr>
              <w:t>Comments</w:t>
            </w:r>
          </w:p>
        </w:tc>
      </w:tr>
      <w:tr w:rsidR="00B35955" w:rsidRPr="00995854" w14:paraId="190C858C" w14:textId="77777777" w:rsidTr="00C47D15">
        <w:trPr>
          <w:trHeight w:val="915"/>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FFFFFF" w:themeColor="background1"/>
            </w:tcBorders>
          </w:tcPr>
          <w:p>
            <w:r>
              <w:t>1.0</w:t>
            </w:r>
          </w:p>
        </w:tc>
        <w:tc>
          <w:tcPr>
            <w:tcW w:w="1130" w:type="dxa"/>
            <w:tcBorders>
              <w:top w:val="single" w:sz="4" w:space="0" w:color="FFFFFF" w:themeColor="background1"/>
            </w:tcBorders>
          </w:tcPr>
          <w:p>
            <w:r>
              <w:t>Chief Information Security Officer (CISO)</w:t>
            </w:r>
          </w:p>
        </w:tc>
        <w:tc>
          <w:tcPr>
            <w:tcW w:w="1247" w:type="dxa"/>
            <w:tcBorders>
              <w:top w:val="single" w:sz="4" w:space="0" w:color="FFFFFF" w:themeColor="background1"/>
            </w:tcBorders>
          </w:tcPr>
          <w:p>
            <w:r>
              <w:t>IT Infrastructure &amp; Security Operations</w:t>
            </w:r>
          </w:p>
        </w:tc>
        <w:tc>
          <w:tcPr>
            <w:tcW w:w="1163" w:type="dxa"/>
            <w:tcBorders>
              <w:top w:val="single" w:sz="4" w:space="0" w:color="FFFFFF" w:themeColor="background1"/>
            </w:tcBorders>
          </w:tcPr>
          <w:p>
            <w:r>
              <w:t>11 September 2026</w:t>
            </w:r>
          </w:p>
        </w:tc>
        <w:tc>
          <w:tcPr>
            <w:tcW w:w="1417" w:type="dxa"/>
            <w:tcBorders>
              <w:top w:val="single" w:sz="4" w:space="0" w:color="FFFFFF" w:themeColor="background1"/>
            </w:tcBorders>
          </w:tcPr>
          <w:p>
            <w:r>
              <w:t>Annually</w:t>
            </w:r>
          </w:p>
        </w:tc>
        <w:tc>
          <w:tcPr>
            <w:tcW w:w="1276" w:type="dxa"/>
            <w:tcBorders>
              <w:top w:val="single" w:sz="4" w:space="0" w:color="FFFFFF" w:themeColor="background1"/>
            </w:tcBorders>
          </w:tcPr>
          <w:p>
            <w:r>
              <w:t>11 September 2027</w:t>
            </w:r>
          </w:p>
        </w:tc>
        <w:tc>
          <w:tcPr>
            <w:tcW w:w="1933" w:type="dxa"/>
            <w:tcBorders>
              <w:top w:val="single" w:sz="4" w:space="0" w:color="FFFFFF" w:themeColor="background1"/>
            </w:tcBorders>
          </w:tcPr>
          <w:p>
            <w:r>
              <w:t>Initial issue prepared for ISO/IEC 27001:2022 implementation.</w:t>
            </w:r>
          </w:p>
        </w:tc>
      </w:tr>
    </w:tbl>
    <w:p w14:paraId="5C1FF71A" w14:textId="77777777" w:rsidR="00B35955" w:rsidRDefault="00B35955">
      <w:pPr>
        <w:rPr>
          <w:color w:val="00AFF0"/>
          <w:sz w:val="28"/>
          <w:szCs w:val="28"/>
        </w:rPr>
      </w:pPr>
    </w:p>
    <w:p w14:paraId="00000004" w14:textId="0DDF2DB4" w:rsidR="00B14648" w:rsidRDefault="0008023E">
      <w:pPr>
        <w:rPr>
          <w:sz w:val="28"/>
          <w:szCs w:val="28"/>
        </w:rPr>
      </w:pPr>
      <w:r w:rsidRPr="007674DD">
        <w:rPr>
          <w:b/>
          <w:bCs/>
          <w:sz w:val="28"/>
          <w:szCs w:val="28"/>
        </w:rPr>
        <w:t>Classification</w:t>
      </w:r>
      <w:r w:rsidRPr="007674DD">
        <w:rPr>
          <w:sz w:val="28"/>
          <w:szCs w:val="28"/>
        </w:rPr>
        <w:t>:</w:t>
      </w:r>
      <w:r>
        <w:t xml:space="preserve"> </w:t>
      </w:r>
      <w:r w:rsidR="005E6EE2">
        <w:rPr>
          <w:sz w:val="28"/>
          <w:szCs w:val="28"/>
        </w:rPr>
        <w:t>Confidential</w:t>
      </w:r>
    </w:p>
    <w:p w14:paraId="08360252" w14:textId="56C7AF4B" w:rsidR="00B367C0" w:rsidRDefault="00B367C0" w:rsidP="00585C51">
      <w:r>
        <w:t xml:space="preserve">This document should be restricted to </w:t>
      </w:r>
      <w:r w:rsidR="00585C51">
        <w:t>those with a specific need.</w:t>
      </w:r>
    </w:p>
    <w:p w14:paraId="78291B98" w14:textId="7656D88B" w:rsidR="00C5527E" w:rsidRPr="00C5527E" w:rsidRDefault="00C5527E" w:rsidP="000A73AA">
      <w:pPr>
        <w:pStyle w:val="Heading1"/>
        <w:rPr>
          <w:rFonts w:eastAsia="Times New Roman"/>
        </w:rPr>
      </w:pPr>
      <w:r w:rsidRPr="00C5527E">
        <w:rPr>
          <w:rFonts w:eastAsia="Times New Roman"/>
        </w:rPr>
        <w:t>1. Purpose</w:t>
      </w:r>
    </w:p>
    <w:p w14:paraId="5C149B24" w14:textId="77777777" w:rsidR="00C5527E" w:rsidRPr="00C5527E" w:rsidRDefault="00C5527E" w:rsidP="00C5527E">
      <w:pPr>
        <w:rPr>
          <w:rFonts w:eastAsia="Times New Roman"/>
        </w:rPr>
      </w:pPr>
      <w:r>
        <w:t>The purpose of this procedure is to define the standard operating controls required to secure the infrastructure, systems, and personnel that host, protect, and support the digital banking services (Afaq Plus and Afaq Net). It addresses previously identified operational gaps to prevent unauthorized disclosure of regulated data and ensure continuous digital service resilience.</w:t>
      </w:r>
    </w:p>
    <w:p w14:paraId="1D9096E9" w14:textId="7CBE5370" w:rsidR="00C5527E" w:rsidRPr="00C5527E" w:rsidRDefault="00C5527E" w:rsidP="000A73AA">
      <w:pPr>
        <w:pStyle w:val="Heading1"/>
        <w:rPr>
          <w:rFonts w:eastAsia="Times New Roman"/>
        </w:rPr>
      </w:pPr>
      <w:r w:rsidRPr="00C5527E">
        <w:rPr>
          <w:rFonts w:eastAsia="Times New Roman"/>
        </w:rPr>
        <w:t>2. Scope</w:t>
      </w:r>
    </w:p>
    <w:p w14:paraId="4EFA3286" w14:textId="77777777" w:rsidR="00C5527E" w:rsidRPr="00C5527E" w:rsidRDefault="00C5527E" w:rsidP="00C5527E">
      <w:pPr>
        <w:rPr>
          <w:rFonts w:eastAsia="Times New Roman"/>
        </w:rPr>
      </w:pPr>
      <w:r>
        <w:t>This procedure applies to all digital banking infrastructure and personnel within the Phase 1 ISMS scope. This includes the primary data center (Floor 3), the Security Operations Center (Floor 4), IT and development offices (Floors 5 to 7) in the Riyadh Headquarters, the dedicated Disaster Recovery Center in Jeddah, and relevant AWS cloud workloads supporting the digital channels. Out-of-scope environments, such as physical branches and the legacy payroll system, are excluded.</w:t>
      </w:r>
    </w:p>
    <w:p w14:paraId="6F711C43" w14:textId="2C93F523" w:rsidR="00C5527E" w:rsidRPr="00C5527E" w:rsidRDefault="00C5527E" w:rsidP="000A73AA">
      <w:pPr>
        <w:pStyle w:val="Heading1"/>
        <w:rPr>
          <w:rFonts w:eastAsia="Times New Roman"/>
        </w:rPr>
      </w:pPr>
      <w:r w:rsidRPr="00C5527E">
        <w:rPr>
          <w:rFonts w:eastAsia="Times New Roman"/>
        </w:rPr>
        <w:t>3. Roles and Responsibilities</w:t>
      </w:r>
    </w:p>
    <w:p w14:paraId="61563185" w14:textId="77777777" w:rsidR="00C5527E" w:rsidRPr="00C5527E" w:rsidRDefault="00C5527E" w:rsidP="00C5527E">
      <w:pPr>
        <w:rPr>
          <w:rFonts w:eastAsia="Times New Roman"/>
        </w:rPr>
      </w:pPr>
      <w:r>
        <w:t>• Chief Information Security Officer (CISO): Accountable for ISMS governance, risk acceptance, and management review.</w:t>
        <w:br/>
        <w:t>• Chief Information Officer (CIO): Responsible for the technology and operations of the infrastructure, networks, and banking applications.</w:t>
        <w:br/>
        <w:t>• Security Operations Center (SOC) Team: Responsible for 24x7 security monitoring, incident coordination, and threat intelligence.</w:t>
        <w:br/>
        <w:t>• IT Infrastructure &amp; Database Administrators: Responsible for patching, configuration, baseline hardening, and backup management.</w:t>
        <w:br/>
        <w:t>• Software Development Team: Responsible for secure code management, testing, and vulnerability remediation.</w:t>
      </w:r>
    </w:p>
    <w:p w14:paraId="42B6ACD5" w14:textId="43300686" w:rsidR="00C5527E" w:rsidRDefault="00C5527E" w:rsidP="000A73AA">
      <w:pPr>
        <w:pStyle w:val="Heading1"/>
        <w:rPr>
          <w:rFonts w:eastAsia="Times New Roman"/>
        </w:rPr>
      </w:pPr>
      <w:r w:rsidRPr="00C5527E">
        <w:rPr>
          <w:rFonts w:eastAsia="Times New Roman"/>
        </w:rPr>
        <w:t>4. Procedure</w:t>
      </w:r>
    </w:p>
    <w:p w14:paraId="65839957" w14:textId="77777777" w:rsidR="000A73AA" w:rsidRPr="000A73AA" w:rsidRDefault="000A73AA" w:rsidP="000A73AA"/>
    <w:p w14:paraId="75114855" w14:textId="77777777" w:rsidR="00C5527E" w:rsidRPr="00C5527E" w:rsidRDefault="00C5527E" w:rsidP="00C5527E">
      <w:pPr>
        <w:rPr>
          <w:rFonts w:eastAsia="Times New Roman"/>
        </w:rPr>
      </w:pPr>
      <w:r>
        <w:t>Step 1: Configure Active Directory on Windows Server environments to enforce the principle of least privilege and eliminate shared administrative credentials. Enforce RSA SecurID multi-factor authentication for all privileged access to in-scope systems.</w:t>
      </w:r>
    </w:p>
    <w:p w14:paraId="3310E6BB" w14:textId="77777777" w:rsidR="00C5527E" w:rsidRPr="00C5527E" w:rsidRDefault="00C5527E" w:rsidP="00C5527E">
      <w:pPr>
        <w:rPr>
          <w:rFonts w:eastAsia="Times New Roman"/>
        </w:rPr>
      </w:pPr>
      <w:r>
        <w:t>Step 2: Deploy Endpoint DLP Plus and enforce full-disk encryption across all corporate laptops via Group Policy Objects (GPO) to prevent the loss or unauthorized disclosure of Customer Personally Identifiable Information (PII).</w:t>
      </w:r>
    </w:p>
    <w:p w14:paraId="2A706588" w14:textId="77777777" w:rsidR="00C5527E" w:rsidRPr="00C5527E" w:rsidRDefault="00C5527E" w:rsidP="00C5527E">
      <w:pPr>
        <w:rPr>
          <w:rFonts w:eastAsia="Times New Roman"/>
        </w:rPr>
      </w:pPr>
      <w:r>
        <w:t>Step 3: Ensure no real customer data is used in test environments. Manage all source code securely via GitLab and ensure no production deployment occurs without documented testing, security review, segregation of duties, and an approved rollback capability.</w:t>
      </w:r>
    </w:p>
    <w:p w14:paraId="34F3E4D4" w14:textId="77777777" w:rsidR="00C5527E" w:rsidRPr="00C5527E" w:rsidRDefault="00C5527E" w:rsidP="00C5527E">
      <w:pPr>
        <w:rPr>
          <w:rFonts w:eastAsia="Times New Roman"/>
        </w:rPr>
      </w:pPr>
      <w:r>
        <w:t>Step 4: Require dual review and formal authorization for any changes to critical network devices (e.g., Palo Alto Firewalls, FortiWeb WAF) to prevent digital service outages.</w:t>
        <w:br/>
        <w:t>Step 5: Execute automated backups using Veritas NetBackup and replicate critical data to the Jeddah Disaster Recovery Center. Verify recovery capabilities through scheduled continuity testing to meet approved RTO and RPO targets.</w:t>
      </w:r>
    </w:p>
    <w:p w14:paraId="0B9E6B5E" w14:textId="24770F1C" w:rsidR="00C5527E" w:rsidRPr="00C5527E" w:rsidRDefault="00C5527E" w:rsidP="000A73AA">
      <w:pPr>
        <w:pStyle w:val="Heading1"/>
        <w:rPr>
          <w:rFonts w:eastAsia="Times New Roman"/>
        </w:rPr>
      </w:pPr>
      <w:r w:rsidRPr="00C5527E">
        <w:rPr>
          <w:rFonts w:eastAsia="Times New Roman"/>
        </w:rPr>
        <w:t>5. Security Controls</w:t>
      </w:r>
    </w:p>
    <w:p w14:paraId="57899A29" w14:textId="77777777" w:rsidR="00C5527E" w:rsidRPr="00C5527E" w:rsidRDefault="00C5527E" w:rsidP="00C5527E">
      <w:pPr>
        <w:rPr>
          <w:rFonts w:eastAsia="Times New Roman"/>
        </w:rPr>
      </w:pPr>
      <w:r>
        <w:t>• Network Perimeter: Protect web platforms and APIs using FortiWeb WAF and Palo Alto Firewalls.</w:t>
        <w:br/>
        <w:t>• Endpoint Security: Maintain active, updated protection using Trend Micro on all supporting servers and endpoints.</w:t>
        <w:br/>
        <w:t>• Vulnerability Management: Utilize Qualys to conduct quarterly vulnerability assessments, ensuring critical and high vulnerabilities are remediated within approved deadlines. Track all overdue remediation efforts in Jira and report them to management.</w:t>
      </w:r>
    </w:p>
    <w:p w14:paraId="54EC0CC1" w14:textId="068B6324" w:rsidR="00C5527E" w:rsidRPr="00C5527E" w:rsidRDefault="00C5527E" w:rsidP="000A73AA">
      <w:pPr>
        <w:pStyle w:val="Heading1"/>
        <w:rPr>
          <w:rFonts w:eastAsia="Times New Roman"/>
        </w:rPr>
      </w:pPr>
      <w:r w:rsidRPr="00C5527E">
        <w:rPr>
          <w:rFonts w:eastAsia="Times New Roman"/>
        </w:rPr>
        <w:t>6. Incident Management</w:t>
      </w:r>
    </w:p>
    <w:p w14:paraId="7EB23D99" w14:textId="77777777" w:rsidR="00C5527E" w:rsidRPr="00C5527E" w:rsidRDefault="00C5527E" w:rsidP="00C5527E">
      <w:pPr>
        <w:rPr>
          <w:rFonts w:eastAsia="Times New Roman"/>
        </w:rPr>
      </w:pPr>
      <w:r>
        <w:t>• Direct all system alerts, IDS/IPS events, and firewall logs to the SOC for 24x7 monitoring.</w:t>
        <w:br/>
        <w:t>• Index and correlate log output (such as Suricata EVE JSON or Syslog) within Splunk Enterprise to provide the previously missing systematic threat intelligence and detection capabilities.</w:t>
        <w:br/>
        <w:t>• Ensure rapid triage and containment of priority incidents affecting Afaq Plus and Afaq Net, strictly following the documented escalation matrix. Major incidents must be reported promptly to meet SAMA requirements.</w:t>
      </w:r>
    </w:p>
    <w:p w14:paraId="16F20F98" w14:textId="2C6717DF" w:rsidR="00C5527E" w:rsidRPr="00C5527E" w:rsidRDefault="00C5527E" w:rsidP="000A73AA">
      <w:pPr>
        <w:pStyle w:val="Heading1"/>
        <w:rPr>
          <w:rFonts w:eastAsia="Times New Roman"/>
        </w:rPr>
      </w:pPr>
      <w:r w:rsidRPr="00C5527E">
        <w:rPr>
          <w:rFonts w:eastAsia="Times New Roman"/>
        </w:rPr>
        <w:t>7. Monitoring and Auditing</w:t>
      </w:r>
    </w:p>
    <w:p w14:paraId="5F4CFB2E" w14:textId="77777777" w:rsidR="00C5527E" w:rsidRPr="00C5527E" w:rsidRDefault="00C5527E" w:rsidP="00C5527E">
      <w:pPr>
        <w:rPr>
          <w:rFonts w:eastAsia="Times New Roman"/>
        </w:rPr>
      </w:pPr>
      <w:r>
        <w:t>• Conduct quarterly reviews of all privileged and sensitive access rights to Phase 1 systems, immediately revoking any inherited or legacy permissions.</w:t>
        <w:br/>
        <w:t>• Monitor IT staff access to prevent unauthorized viewing of cross-departmental data (e.g., HR folders).</w:t>
        <w:br/>
        <w:t>• Internal Audit will periodically independently review this SOP and its enforcement to ensure reliable evidence and regulatory compliance.</w:t>
      </w:r>
    </w:p>
    <w:p w14:paraId="274D000F" w14:textId="0A0B9DE8" w:rsidR="00C5527E" w:rsidRPr="00C5527E" w:rsidRDefault="00C5527E" w:rsidP="000A73AA">
      <w:pPr>
        <w:pStyle w:val="Heading1"/>
        <w:rPr>
          <w:rFonts w:eastAsia="Times New Roman"/>
        </w:rPr>
      </w:pPr>
      <w:r w:rsidRPr="00C5527E">
        <w:rPr>
          <w:rFonts w:eastAsia="Times New Roman"/>
        </w:rPr>
        <w:t>8. Review and Update</w:t>
      </w:r>
    </w:p>
    <w:p w14:paraId="50080BF3" w14:textId="77777777" w:rsidR="00C5527E" w:rsidRPr="00C5527E" w:rsidRDefault="00C5527E" w:rsidP="00C5527E">
      <w:pPr>
        <w:rPr>
          <w:rFonts w:eastAsia="Times New Roman"/>
        </w:rPr>
      </w:pPr>
      <w:r>
        <w:t>This SOP shall be reviewed on an annual basis, or whenever significant architectural changes occur within the Bank's operating environment. The document owner (IT Infrastructure &amp; Security Operations) must initiate the review process one month prior to the 'Next Review' date.</w:t>
      </w:r>
    </w:p>
    <w:p w14:paraId="5FBF5493" w14:textId="7AB5833A" w:rsidR="00C5527E" w:rsidRPr="00C5527E" w:rsidRDefault="00C5527E" w:rsidP="000A73AA">
      <w:pPr>
        <w:pStyle w:val="Heading1"/>
        <w:rPr>
          <w:rFonts w:eastAsia="Times New Roman"/>
        </w:rPr>
      </w:pPr>
      <w:r w:rsidRPr="00C5527E">
        <w:rPr>
          <w:rFonts w:eastAsia="Times New Roman"/>
        </w:rPr>
        <w:lastRenderedPageBreak/>
        <w:t>9. References</w:t>
      </w:r>
    </w:p>
    <w:p w14:paraId="4A1C6970" w14:textId="77777777" w:rsidR="00C5527E" w:rsidRPr="00C5527E" w:rsidRDefault="00C5527E" w:rsidP="00C5527E">
      <w:pPr>
        <w:rPr>
          <w:rFonts w:eastAsia="Times New Roman"/>
        </w:rPr>
      </w:pPr>
      <w:r>
        <w:t>• 1-Scope.docx</w:t>
        <w:br/>
        <w:t>• 8-InventoryOfAssets.xlsx</w:t>
        <w:br/>
        <w:t>• 4.StatementOfApplicability.xlsx</w:t>
        <w:br/>
        <w:t>• Risk Assessment and Treatment Methodology</w:t>
        <w:br/>
        <w:t>• Legal, Regulatory and Contractual Requirements Procedure</w:t>
      </w:r>
    </w:p>
    <w:p w14:paraId="315A6403" w14:textId="77777777" w:rsidR="00585C51" w:rsidRDefault="00585C51" w:rsidP="00585C51"/>
    <w:sectPr w:rsidR="00585C51" w:rsidSect="00585C51">
      <w:headerReference w:type="first" r:id="rId8"/>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4BFB41" w14:textId="77777777" w:rsidR="003A63DF" w:rsidRDefault="003A63DF">
      <w:pPr>
        <w:spacing w:after="0"/>
      </w:pPr>
      <w:r>
        <w:separator/>
      </w:r>
    </w:p>
  </w:endnote>
  <w:endnote w:type="continuationSeparator" w:id="0">
    <w:p w14:paraId="5C3FF690" w14:textId="77777777" w:rsidR="003A63DF" w:rsidRDefault="003A63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2FEEF7" w14:textId="77777777" w:rsidR="003A63DF" w:rsidRDefault="003A63DF">
      <w:pPr>
        <w:spacing w:after="0"/>
      </w:pPr>
      <w:r>
        <w:separator/>
      </w:r>
    </w:p>
  </w:footnote>
  <w:footnote w:type="continuationSeparator" w:id="0">
    <w:p w14:paraId="080C66B4" w14:textId="77777777" w:rsidR="003A63DF" w:rsidRDefault="003A63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2A1A29" w14:textId="26A99455" w:rsidR="00A13DB3" w:rsidRDefault="00A13DB3" w:rsidP="00A13DB3">
    <w:pPr>
      <w:pStyle w:val="Header"/>
      <w:jc w:val="right"/>
    </w:pPr>
    <w:r>
      <w:rPr>
        <w:noProof/>
      </w:rPr>
      <w:drawing>
        <wp:inline distT="0" distB="0" distL="0" distR="0" wp14:anchorId="52AC36FA" wp14:editId="33C5F435">
          <wp:extent cx="2192118" cy="632460"/>
          <wp:effectExtent l="0" t="0" r="0" b="0"/>
          <wp:docPr id="1" name="Picture 1" descr="A purple and black rectangula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urple and black rectangular 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192118" cy="6324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75FB7"/>
    <w:multiLevelType w:val="multilevel"/>
    <w:tmpl w:val="8708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A30FA"/>
    <w:multiLevelType w:val="multilevel"/>
    <w:tmpl w:val="3AA4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E47EA"/>
    <w:multiLevelType w:val="multilevel"/>
    <w:tmpl w:val="2BD0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4133D"/>
    <w:multiLevelType w:val="multilevel"/>
    <w:tmpl w:val="9C2E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D52A6"/>
    <w:multiLevelType w:val="multilevel"/>
    <w:tmpl w:val="F4E0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E2F59"/>
    <w:multiLevelType w:val="multilevel"/>
    <w:tmpl w:val="3964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A5168"/>
    <w:multiLevelType w:val="multilevel"/>
    <w:tmpl w:val="886AED26"/>
    <w:lvl w:ilvl="0">
      <w:start w:val="1"/>
      <w:numFmt w:val="decimal"/>
      <w:lvlText w:val="%1."/>
      <w:lvlJc w:val="left"/>
      <w:pPr>
        <w:ind w:left="720" w:hanging="360"/>
      </w:pPr>
      <w:rPr>
        <w:rFonts w:ascii="Roboto" w:eastAsia="Roboto" w:hAnsi="Roboto" w:cs="Roboto"/>
        <w:sz w:val="18"/>
        <w:szCs w:val="18"/>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1550C7"/>
    <w:multiLevelType w:val="multilevel"/>
    <w:tmpl w:val="55A0387E"/>
    <w:lvl w:ilvl="0">
      <w:start w:val="1"/>
      <w:numFmt w:val="bullet"/>
      <w:lvlText w:val="●"/>
      <w:lvlJc w:val="left"/>
      <w:pPr>
        <w:ind w:left="720" w:hanging="360"/>
      </w:pPr>
      <w:rPr>
        <w:rFonts w:ascii="Roboto" w:eastAsia="Roboto" w:hAnsi="Roboto" w:cs="Roboto"/>
        <w:sz w:val="18"/>
        <w:szCs w:val="18"/>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4EA1F5F"/>
    <w:multiLevelType w:val="multilevel"/>
    <w:tmpl w:val="729C5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3955F7"/>
    <w:multiLevelType w:val="multilevel"/>
    <w:tmpl w:val="4442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65124A"/>
    <w:multiLevelType w:val="multilevel"/>
    <w:tmpl w:val="ADCE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1262FD"/>
    <w:multiLevelType w:val="multilevel"/>
    <w:tmpl w:val="9228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112435">
    <w:abstractNumId w:val="7"/>
  </w:num>
  <w:num w:numId="2" w16cid:durableId="1226449000">
    <w:abstractNumId w:val="6"/>
  </w:num>
  <w:num w:numId="3" w16cid:durableId="1156919116">
    <w:abstractNumId w:val="8"/>
  </w:num>
  <w:num w:numId="4" w16cid:durableId="1613199828">
    <w:abstractNumId w:val="4"/>
  </w:num>
  <w:num w:numId="5" w16cid:durableId="674039013">
    <w:abstractNumId w:val="0"/>
  </w:num>
  <w:num w:numId="6" w16cid:durableId="1278878377">
    <w:abstractNumId w:val="9"/>
  </w:num>
  <w:num w:numId="7" w16cid:durableId="2080053872">
    <w:abstractNumId w:val="10"/>
  </w:num>
  <w:num w:numId="8" w16cid:durableId="82385324">
    <w:abstractNumId w:val="11"/>
  </w:num>
  <w:num w:numId="9" w16cid:durableId="1765884305">
    <w:abstractNumId w:val="1"/>
  </w:num>
  <w:num w:numId="10" w16cid:durableId="803472333">
    <w:abstractNumId w:val="2"/>
  </w:num>
  <w:num w:numId="11" w16cid:durableId="1412005260">
    <w:abstractNumId w:val="3"/>
  </w:num>
  <w:num w:numId="12" w16cid:durableId="11741460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IyNjCwMLcwMLQwNzRX0lEKTi0uzszPAykwqgUApZ2hESwAAAA="/>
  </w:docVars>
  <w:rsids>
    <w:rsidRoot w:val="00B14648"/>
    <w:rsid w:val="00016368"/>
    <w:rsid w:val="0008023E"/>
    <w:rsid w:val="000916C2"/>
    <w:rsid w:val="000A73AA"/>
    <w:rsid w:val="00277158"/>
    <w:rsid w:val="00292422"/>
    <w:rsid w:val="003A63DF"/>
    <w:rsid w:val="004225DF"/>
    <w:rsid w:val="004A4633"/>
    <w:rsid w:val="004A6F7E"/>
    <w:rsid w:val="00523F90"/>
    <w:rsid w:val="0052717A"/>
    <w:rsid w:val="00585C51"/>
    <w:rsid w:val="00596C8A"/>
    <w:rsid w:val="005E6EE2"/>
    <w:rsid w:val="00657616"/>
    <w:rsid w:val="00701C99"/>
    <w:rsid w:val="00732D89"/>
    <w:rsid w:val="007674DD"/>
    <w:rsid w:val="007D4830"/>
    <w:rsid w:val="0084602A"/>
    <w:rsid w:val="008D5540"/>
    <w:rsid w:val="008F420C"/>
    <w:rsid w:val="009702D2"/>
    <w:rsid w:val="00993D14"/>
    <w:rsid w:val="00A13DB3"/>
    <w:rsid w:val="00B14648"/>
    <w:rsid w:val="00B35955"/>
    <w:rsid w:val="00B367C0"/>
    <w:rsid w:val="00C5527E"/>
    <w:rsid w:val="00C66B10"/>
    <w:rsid w:val="00CF69E5"/>
    <w:rsid w:val="00D859A9"/>
    <w:rsid w:val="00FD1A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4E2B6DB4"/>
  <w15:docId w15:val="{D33D69EB-8533-9E4B-A931-628BFD1F4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9A9"/>
  </w:style>
  <w:style w:type="paragraph" w:styleId="Heading1">
    <w:name w:val="heading 1"/>
    <w:basedOn w:val="Normal"/>
    <w:next w:val="Normal"/>
    <w:link w:val="Heading1Char"/>
    <w:uiPriority w:val="9"/>
    <w:qFormat/>
    <w:rsid w:val="00D859A9"/>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D859A9"/>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9A9"/>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9A9"/>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D859A9"/>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D859A9"/>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D859A9"/>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D859A9"/>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D859A9"/>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859A9"/>
    <w:pPr>
      <w:spacing w:after="0" w:line="204" w:lineRule="auto"/>
      <w:contextualSpacing/>
    </w:pPr>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D859A9"/>
    <w:pPr>
      <w:numPr>
        <w:ilvl w:val="1"/>
      </w:numPr>
      <w:spacing w:after="240" w:line="240" w:lineRule="auto"/>
    </w:pPr>
    <w:rPr>
      <w:rFonts w:asciiTheme="majorHAnsi" w:eastAsiaTheme="majorEastAsia" w:hAnsiTheme="majorHAnsi" w:cstheme="majorBidi"/>
      <w:color w:val="156082" w:themeColor="accent1"/>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C66B10"/>
    <w:pPr>
      <w:tabs>
        <w:tab w:val="center" w:pos="4513"/>
        <w:tab w:val="right" w:pos="9026"/>
      </w:tabs>
      <w:spacing w:after="0"/>
    </w:pPr>
  </w:style>
  <w:style w:type="character" w:customStyle="1" w:styleId="HeaderChar">
    <w:name w:val="Header Char"/>
    <w:basedOn w:val="DefaultParagraphFont"/>
    <w:link w:val="Header"/>
    <w:uiPriority w:val="99"/>
    <w:rsid w:val="00C66B10"/>
  </w:style>
  <w:style w:type="paragraph" w:styleId="Footer">
    <w:name w:val="footer"/>
    <w:basedOn w:val="Normal"/>
    <w:link w:val="FooterChar"/>
    <w:uiPriority w:val="99"/>
    <w:unhideWhenUsed/>
    <w:rsid w:val="00C66B10"/>
    <w:pPr>
      <w:tabs>
        <w:tab w:val="center" w:pos="4513"/>
        <w:tab w:val="right" w:pos="9026"/>
      </w:tabs>
      <w:spacing w:after="0"/>
    </w:pPr>
  </w:style>
  <w:style w:type="character" w:customStyle="1" w:styleId="FooterChar">
    <w:name w:val="Footer Char"/>
    <w:basedOn w:val="DefaultParagraphFont"/>
    <w:link w:val="Footer"/>
    <w:uiPriority w:val="99"/>
    <w:rsid w:val="00C66B10"/>
  </w:style>
  <w:style w:type="character" w:customStyle="1" w:styleId="Heading1Char">
    <w:name w:val="Heading 1 Char"/>
    <w:basedOn w:val="DefaultParagraphFont"/>
    <w:link w:val="Heading1"/>
    <w:uiPriority w:val="9"/>
    <w:rsid w:val="00D859A9"/>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D859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9A9"/>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9A9"/>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D859A9"/>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D859A9"/>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D859A9"/>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D859A9"/>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D859A9"/>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D859A9"/>
    <w:pPr>
      <w:spacing w:line="240" w:lineRule="auto"/>
    </w:pPr>
    <w:rPr>
      <w:b/>
      <w:bCs/>
      <w:smallCaps/>
      <w:color w:val="0E2841" w:themeColor="text2"/>
    </w:rPr>
  </w:style>
  <w:style w:type="character" w:customStyle="1" w:styleId="TitleChar">
    <w:name w:val="Title Char"/>
    <w:basedOn w:val="DefaultParagraphFont"/>
    <w:link w:val="Title"/>
    <w:uiPriority w:val="10"/>
    <w:rsid w:val="00D859A9"/>
    <w:rPr>
      <w:rFonts w:asciiTheme="majorHAnsi" w:eastAsiaTheme="majorEastAsia" w:hAnsiTheme="majorHAnsi" w:cstheme="majorBidi"/>
      <w:caps/>
      <w:color w:val="0E2841" w:themeColor="text2"/>
      <w:spacing w:val="-15"/>
      <w:sz w:val="72"/>
      <w:szCs w:val="72"/>
    </w:rPr>
  </w:style>
  <w:style w:type="character" w:customStyle="1" w:styleId="SubtitleChar">
    <w:name w:val="Subtitle Char"/>
    <w:basedOn w:val="DefaultParagraphFont"/>
    <w:link w:val="Subtitle"/>
    <w:uiPriority w:val="11"/>
    <w:rsid w:val="00D859A9"/>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D859A9"/>
    <w:rPr>
      <w:b/>
      <w:bCs/>
    </w:rPr>
  </w:style>
  <w:style w:type="character" w:styleId="Emphasis">
    <w:name w:val="Emphasis"/>
    <w:basedOn w:val="DefaultParagraphFont"/>
    <w:uiPriority w:val="20"/>
    <w:qFormat/>
    <w:rsid w:val="00D859A9"/>
    <w:rPr>
      <w:i/>
      <w:iCs/>
    </w:rPr>
  </w:style>
  <w:style w:type="paragraph" w:styleId="NoSpacing">
    <w:name w:val="No Spacing"/>
    <w:uiPriority w:val="1"/>
    <w:qFormat/>
    <w:rsid w:val="00D859A9"/>
    <w:pPr>
      <w:spacing w:after="0" w:line="240" w:lineRule="auto"/>
    </w:pPr>
  </w:style>
  <w:style w:type="paragraph" w:styleId="Quote">
    <w:name w:val="Quote"/>
    <w:basedOn w:val="Normal"/>
    <w:next w:val="Normal"/>
    <w:link w:val="QuoteChar"/>
    <w:uiPriority w:val="29"/>
    <w:qFormat/>
    <w:rsid w:val="00D859A9"/>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D859A9"/>
    <w:rPr>
      <w:color w:val="0E2841" w:themeColor="text2"/>
      <w:sz w:val="24"/>
      <w:szCs w:val="24"/>
    </w:rPr>
  </w:style>
  <w:style w:type="paragraph" w:styleId="IntenseQuote">
    <w:name w:val="Intense Quote"/>
    <w:basedOn w:val="Normal"/>
    <w:next w:val="Normal"/>
    <w:link w:val="IntenseQuoteChar"/>
    <w:uiPriority w:val="30"/>
    <w:qFormat/>
    <w:rsid w:val="00D859A9"/>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D859A9"/>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D859A9"/>
    <w:rPr>
      <w:i/>
      <w:iCs/>
      <w:color w:val="595959" w:themeColor="text1" w:themeTint="A6"/>
    </w:rPr>
  </w:style>
  <w:style w:type="character" w:styleId="IntenseEmphasis">
    <w:name w:val="Intense Emphasis"/>
    <w:basedOn w:val="DefaultParagraphFont"/>
    <w:uiPriority w:val="21"/>
    <w:qFormat/>
    <w:rsid w:val="00D859A9"/>
    <w:rPr>
      <w:b/>
      <w:bCs/>
      <w:i/>
      <w:iCs/>
    </w:rPr>
  </w:style>
  <w:style w:type="character" w:styleId="SubtleReference">
    <w:name w:val="Subtle Reference"/>
    <w:basedOn w:val="DefaultParagraphFont"/>
    <w:uiPriority w:val="31"/>
    <w:qFormat/>
    <w:rsid w:val="00D859A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859A9"/>
    <w:rPr>
      <w:b/>
      <w:bCs/>
      <w:smallCaps/>
      <w:color w:val="0E2841" w:themeColor="text2"/>
      <w:u w:val="single"/>
    </w:rPr>
  </w:style>
  <w:style w:type="character" w:styleId="BookTitle">
    <w:name w:val="Book Title"/>
    <w:basedOn w:val="DefaultParagraphFont"/>
    <w:uiPriority w:val="33"/>
    <w:qFormat/>
    <w:rsid w:val="00D859A9"/>
    <w:rPr>
      <w:b/>
      <w:bCs/>
      <w:smallCaps/>
      <w:spacing w:val="10"/>
    </w:rPr>
  </w:style>
  <w:style w:type="paragraph" w:styleId="TOCHeading">
    <w:name w:val="TOC Heading"/>
    <w:basedOn w:val="Heading1"/>
    <w:next w:val="Normal"/>
    <w:uiPriority w:val="39"/>
    <w:semiHidden/>
    <w:unhideWhenUsed/>
    <w:qFormat/>
    <w:rsid w:val="00D859A9"/>
    <w:pPr>
      <w:outlineLvl w:val="9"/>
    </w:pPr>
  </w:style>
  <w:style w:type="paragraph" w:styleId="NormalWeb">
    <w:name w:val="Normal (Web)"/>
    <w:basedOn w:val="Normal"/>
    <w:uiPriority w:val="99"/>
    <w:semiHidden/>
    <w:unhideWhenUsed/>
    <w:rsid w:val="00C5527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A73AA"/>
    <w:pPr>
      <w:ind w:left="720"/>
      <w:contextualSpacing/>
    </w:pPr>
  </w:style>
  <w:style w:type="table" w:styleId="GridTable4-Accent4">
    <w:name w:val="Grid Table 4 Accent 4"/>
    <w:basedOn w:val="TableNormal"/>
    <w:uiPriority w:val="49"/>
    <w:rsid w:val="00B35955"/>
    <w:pPr>
      <w:spacing w:after="0" w:line="240" w:lineRule="auto"/>
    </w:pPr>
    <w:rPr>
      <w:lang w:eastAsia="en-US"/>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99523">
      <w:bodyDiv w:val="1"/>
      <w:marLeft w:val="0"/>
      <w:marRight w:val="0"/>
      <w:marTop w:val="0"/>
      <w:marBottom w:val="0"/>
      <w:divBdr>
        <w:top w:val="none" w:sz="0" w:space="0" w:color="auto"/>
        <w:left w:val="none" w:sz="0" w:space="0" w:color="auto"/>
        <w:bottom w:val="none" w:sz="0" w:space="0" w:color="auto"/>
        <w:right w:val="none" w:sz="0" w:space="0" w:color="auto"/>
      </w:divBdr>
    </w:div>
    <w:div w:id="6357650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vDltgZYJNsLR/U35OwwvusYJg==">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142</Words>
  <Characters>888</Characters>
  <Application>Microsoft Office Word</Application>
  <DocSecurity>0</DocSecurity>
  <Lines>55</Lines>
  <Paragraphs>36</Paragraphs>
  <ScaleCrop>false</ScaleCrop>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Alan Parker</cp:lastModifiedBy>
  <cp:revision>13</cp:revision>
  <dcterms:created xsi:type="dcterms:W3CDTF">2024-06-07T10:37:00Z</dcterms:created>
  <dcterms:modified xsi:type="dcterms:W3CDTF">2024-06-07T16:36:00Z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2bf4aaa2e79538540a3c20cf1956d687c0a0a87b4f909ee596219d22f1afa31d</vt:lpwstr>
  </property>
</Properties>
</file>