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25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两岸新锐设计竞赛</w:t>
      </w:r>
      <w:r>
        <w:rPr>
          <w:b/>
          <w:color w:val="1F4D78"/>
          <w:sz w:val="52"/>
          <w:lang w:eastAsia="zh-CN"/>
        </w:rPr>
        <w:t>·</w:t>
      </w:r>
      <w:r>
        <w:rPr>
          <w:b/>
          <w:color w:val="1F4D78"/>
          <w:sz w:val="52"/>
          <w:lang w:eastAsia="zh-CN"/>
        </w:rPr>
        <w:t>华灿奖</w:t>
      </w:r>
    </w:p>
    <w:p w14:paraId="600AD01C" w14:textId="2245A7B2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一句话介绍：围绕两岸文化与社会创新主题提交完整设计提案，以视觉呈现、社会价值和可实现性参加逐级评审。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华灿奖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sz w:val="20"/>
              </w:rPr>
              <w:t>中国高等教育学会</w:t>
            </w:r>
            <w:proofErr w:type="spellEnd"/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设计艺术学院及西南交通大学华灿奖校赛组委会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视觉、产品、空间、数字媒体、文化创意、主题设计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在读学生均可；个人和团队作品均可，适合设计与技术跨学科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设计艺术学院及西南交通大学华灿奖校赛组委会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赛事设创意赛道和定向主题赛道，参赛者提交项目提案、效果图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视频或实物照片，校赛按比例推荐赛区赛，再进入全国评审。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创意赛道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围绕社会、文化、产品或服务问题自主提出设计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完整提案</w:t>
            </w:r>
            <w:r>
              <w:rPr>
                <w:sz w:val="18"/>
                <w:lang w:eastAsia="zh-CN"/>
              </w:rPr>
              <w:t>PDF</w:t>
            </w:r>
            <w:r>
              <w:rPr>
                <w:sz w:val="18"/>
                <w:lang w:eastAsia="zh-CN"/>
              </w:rPr>
              <w:t>、效果图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视频，实物类附原型照片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兼顾创新性、社会价值和实现路径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定向主题赛道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按主办方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企业主题完成指定类别设计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严格使用主题素材与提交模板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准确回应命题并形成可传播成果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校赛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赛区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全国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逐级完善设计、论证和展示材料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校赛按比例推荐，赛区评审后进入全国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保持作品原创且各轮信息一致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西南交大第十届校赛征集后，按不超过有效作品</w:t>
      </w:r>
      <w:r>
        <w:rPr>
          <w:b/>
          <w:color w:val="1F4D78"/>
          <w:lang w:eastAsia="zh-CN"/>
        </w:rPr>
        <w:t>50%</w:t>
      </w:r>
      <w:r>
        <w:rPr>
          <w:b/>
          <w:color w:val="1F4D78"/>
          <w:lang w:eastAsia="zh-CN"/>
        </w:rPr>
        <w:t>推荐赛区赛；赛区优秀作品进入全国赛评审与展示。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往届获奖的相同作品不能再参赛；每位选手作品数量、团队人数、文件大小和原创承诺均有明确限制。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校赛</w:t>
      </w:r>
      <w:proofErr w:type="gramStart"/>
      <w:r>
        <w:rPr>
          <w:lang w:eastAsia="zh-CN"/>
        </w:rPr>
        <w:t>征集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校赛</w:t>
      </w:r>
      <w:proofErr w:type="gramStart"/>
      <w:r>
        <w:rPr>
          <w:lang w:eastAsia="zh-CN"/>
        </w:rPr>
        <w:t>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赛区赛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全国评审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结果与展示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第十届校赛于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9</w:t>
      </w:r>
      <w:r>
        <w:rPr>
          <w:lang w:eastAsia="zh-CN"/>
        </w:rPr>
        <w:t>月启动，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日公布</w:t>
      </w:r>
      <w:r>
        <w:rPr>
          <w:lang w:eastAsia="zh-CN"/>
        </w:rPr>
        <w:t>154</w:t>
      </w:r>
      <w:r>
        <w:rPr>
          <w:lang w:eastAsia="zh-CN"/>
        </w:rPr>
        <w:t>件省赛推荐作品；下一届时间以设计艺术学院通知为准。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华灿奖不是只交一张效果图：需说明问题、方案、技术路径和社会价值，概念设计也要展示使用场景与实现依据。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设计研究、视觉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产品实现、提案与版权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设计研究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用户访谈、文化研究、竞品与场景分析；</w:t>
            </w:r>
            <w:r>
              <w:rPr>
                <w:sz w:val="18"/>
              </w:rPr>
              <w:t>Miro</w:t>
            </w:r>
            <w:proofErr w:type="spellEnd"/>
            <w:r>
              <w:rPr>
                <w:sz w:val="18"/>
              </w:rPr>
              <w:t>/Excel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能定义问题、目标人群和设计依据，不停留在主观审美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视觉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产品实现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Photoshop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Figma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Rhino</w:t>
            </w:r>
            <w:proofErr w:type="spellEnd"/>
            <w:r>
              <w:rPr>
                <w:sz w:val="18"/>
              </w:rPr>
              <w:t>/SolidWorks/Blender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能输出完整视觉、交互或产品方案，并做效果图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原型验证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提案与版权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InDesign/</w:t>
            </w:r>
            <w:proofErr w:type="spellStart"/>
            <w:r>
              <w:rPr>
                <w:sz w:val="18"/>
              </w:rPr>
              <w:t>PowerPoint</w:t>
            </w:r>
            <w:r>
              <w:rPr>
                <w:sz w:val="18"/>
              </w:rPr>
              <w:t>、视频、原创与素材授权规范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能把问题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方案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技术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价值讲清，并形成合规投稿包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可个人或团队参赛；第十届每项含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名第一作者和不超过</w:t>
      </w:r>
      <w:r>
        <w:rPr>
          <w:b/>
          <w:color w:val="1F4D78"/>
          <w:lang w:eastAsia="zh-CN"/>
        </w:rPr>
        <w:t>4</w:t>
      </w:r>
      <w:r>
        <w:rPr>
          <w:b/>
          <w:color w:val="1F4D78"/>
          <w:lang w:eastAsia="zh-CN"/>
        </w:rPr>
        <w:t>名团队成员，学生组指导教师不超过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参赛形式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个人或团队；第十届团队含第一作者在内最多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名，指导教师不超过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每位选手最多参与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项作品，按当届规则复核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原创要求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往届获奖相同作品不得再次参赛，须签署原创承诺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保存源文件、过程稿、授权和团队分工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设计研究主责：能定义问题、目标人群和设计依据，不停留在主观审美；视觉</w:t>
      </w:r>
      <w:r>
        <w:rPr>
          <w:lang w:eastAsia="zh-CN"/>
        </w:rPr>
        <w:t>/</w:t>
      </w:r>
      <w:r>
        <w:rPr>
          <w:lang w:eastAsia="zh-CN"/>
        </w:rPr>
        <w:t>产品实现主责：能输出完整视觉、交互或产品方案，并做效果图</w:t>
      </w:r>
      <w:r>
        <w:rPr>
          <w:lang w:eastAsia="zh-CN"/>
        </w:rPr>
        <w:t>/</w:t>
      </w:r>
      <w:r>
        <w:rPr>
          <w:lang w:eastAsia="zh-CN"/>
        </w:rPr>
        <w:t>原型验证；提案与版权主责：能把问题</w:t>
      </w:r>
      <w:r>
        <w:rPr>
          <w:lang w:eastAsia="zh-CN"/>
        </w:rPr>
        <w:t>—</w:t>
      </w:r>
      <w:r>
        <w:rPr>
          <w:lang w:eastAsia="zh-CN"/>
        </w:rPr>
        <w:t>方案</w:t>
      </w:r>
      <w:r>
        <w:rPr>
          <w:lang w:eastAsia="zh-CN"/>
        </w:rPr>
        <w:t>—</w:t>
      </w:r>
      <w:r>
        <w:rPr>
          <w:lang w:eastAsia="zh-CN"/>
        </w:rPr>
        <w:t>技术</w:t>
      </w:r>
      <w:r>
        <w:rPr>
          <w:lang w:eastAsia="zh-CN"/>
        </w:rPr>
        <w:t>—</w:t>
      </w:r>
      <w:r>
        <w:rPr>
          <w:lang w:eastAsia="zh-CN"/>
        </w:rPr>
        <w:t>价值讲清，并形成合规投稿包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先把项目提案逻辑做完整，再统一视觉；图像、字体、模型、音乐和</w:t>
      </w:r>
      <w:r>
        <w:rPr>
          <w:lang w:eastAsia="zh-CN"/>
        </w:rPr>
        <w:t>AI</w:t>
      </w:r>
      <w:r>
        <w:rPr>
          <w:lang w:eastAsia="zh-CN"/>
        </w:rPr>
        <w:t>生成素材均需合规。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物理学院可与设计学院合作科技产品、交互装置、科普与可持续设计，承担功能原理、原型验证和数据证明。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校赛征集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第十届：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月起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注册、选择赛道并提交作品与校内材料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校赛评审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第十届：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校内合规和专业评审，确定赛区推荐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赛区赛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通常当年秋季；以官网通知为准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参加区域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省级评审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赛区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全国评审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通常次阶段开展；具体待官网通知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优秀赛区作品进入全国评审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结果与展示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以当届组委会通知为准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查询证书、展览及成果推广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国家级展示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日：第十届校赛与赛区推荐已完成；后续全国结果及下一届征集以华灿奖官网和设计艺术学院为准。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周）：补齐设计研究所需基础，并完成一个小练习。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个月）：围绕视觉</w:t>
      </w:r>
      <w:r>
        <w:rPr>
          <w:lang w:eastAsia="zh-CN"/>
        </w:rPr>
        <w:t>/</w:t>
      </w:r>
      <w:r>
        <w:rPr>
          <w:lang w:eastAsia="zh-CN"/>
        </w:rPr>
        <w:t>产品实现完成可运行、可验证的阶段成果。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西南交大第十届华灿奖校赛通知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西南交大第十届省赛推荐名单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第十届华灿奖投稿指南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两岸新锐设计竞赛</w:t>
        </w:r>
        <w:r>
          <w:rPr>
            <w:color w:val="2E74B5"/>
            <w:sz w:val="20"/>
            <w:szCs w:val="20"/>
            <w:u w:val="single"/>
            <w:lang w:eastAsia="zh-CN"/>
          </w:rPr>
          <w:t>·</w:t>
        </w:r>
        <w:r>
          <w:rPr>
            <w:color w:val="2E74B5"/>
            <w:sz w:val="20"/>
            <w:szCs w:val="20"/>
            <w:u w:val="single"/>
            <w:lang w:eastAsia="zh-CN"/>
          </w:rPr>
          <w:t>华灿奖官网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3F13" w14:textId="77777777" w:rsidR="00C67259" w:rsidRDefault="00C67259">
      <w:pPr>
        <w:spacing w:after="0" w:line="240" w:lineRule="auto"/>
      </w:pPr>
      <w:r>
        <w:separator/>
      </w:r>
    </w:p>
  </w:endnote>
  <w:endnote w:type="continuationSeparator" w:id="0">
    <w:p w14:paraId="1503B739" w14:textId="77777777" w:rsidR="00C67259" w:rsidRDefault="00C67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A4C9B" w14:textId="77777777" w:rsidR="00C67259" w:rsidRDefault="00C67259">
      <w:pPr>
        <w:spacing w:after="0" w:line="240" w:lineRule="auto"/>
      </w:pPr>
      <w:r>
        <w:separator/>
      </w:r>
    </w:p>
  </w:footnote>
  <w:footnote w:type="continuationSeparator" w:id="0">
    <w:p w14:paraId="4ECD2EF7" w14:textId="77777777" w:rsidR="00C67259" w:rsidRDefault="00C67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C18E3"/>
    <w:rsid w:val="00202E0C"/>
    <w:rsid w:val="00222473"/>
    <w:rsid w:val="0029639D"/>
    <w:rsid w:val="002A3277"/>
    <w:rsid w:val="002C7596"/>
    <w:rsid w:val="00310EDF"/>
    <w:rsid w:val="00326F90"/>
    <w:rsid w:val="0038646E"/>
    <w:rsid w:val="003B68A0"/>
    <w:rsid w:val="00457617"/>
    <w:rsid w:val="00516295"/>
    <w:rsid w:val="005827E4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B6369"/>
    <w:rsid w:val="00BE429E"/>
    <w:rsid w:val="00C67259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design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huacanjiang.com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download/ueditor/jsp/upload/file/20250904/175696966350705666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design.swjtu.edu.cn/info/1038/11859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sign.swjtu.edu.cn/info/1038/11089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2026-07-30T14:25:00Z</dcterms:created>
  <dcterms:modified xsi:type="dcterms:W3CDTF">2026-07-30T16:33:00Z</dcterms:modified>
  <cp:category/>
</cp:coreProperties>
</file>