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54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四川省大学生工业设计大赛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一句话介绍：围绕真实生活与产业问题完成产品、交互、服务或信息设计，用完整设计过程和可验证原型参加四川省评审。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四川省工业设计大赛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四川省教育厅、四川省经济和信息化厅等（以当届通知为准）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本科生院、设计艺术学院及校内工业设计竞赛工作组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产品设计、交互设计、服务设计、信息设计、文化创意、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辅助设计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面向在校本科生和研究生；不限专业，工程与设计跨学科团队更有优势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本科生院、设计艺术学院及校内工业设计竞赛工作组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赛事关注设计创新、产业需求和社会价值，通常设置产品、交互、服务、信息传播等类别。参赛者需从用户与场景研究出发，提出方案，完成模型或交互原型，并用展板、视频等材料讲清设计逻辑。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产品设计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围绕器具、设备、交通、健康或公共服务产品完成系统设计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调研、草图、三维模型、展板，可配样机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视频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让功能、形态、人机与制造方式相互支撑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交互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服务设计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设计数字界面、智能交互、服</w:t>
            </w:r>
            <w:r>
              <w:rPr>
                <w:sz w:val="18"/>
                <w:lang w:eastAsia="zh-CN"/>
              </w:rPr>
              <w:lastRenderedPageBreak/>
              <w:t>务流程或软硬件体验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用户旅程、原型、交互演示、</w:t>
            </w:r>
            <w:r>
              <w:rPr>
                <w:sz w:val="18"/>
                <w:lang w:eastAsia="zh-CN"/>
              </w:rPr>
              <w:lastRenderedPageBreak/>
              <w:t>服务蓝图与说明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用可测试流程解决明确用户</w:t>
            </w:r>
            <w:r>
              <w:rPr>
                <w:sz w:val="18"/>
                <w:lang w:eastAsia="zh-CN"/>
              </w:rPr>
              <w:lastRenderedPageBreak/>
              <w:t>问题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信息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文化与综合创新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完成信息可视化、文化创意、社会创新或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辅助设计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视觉成果、应用场景、过程说明与版权</w:t>
            </w:r>
            <w:r>
              <w:rPr>
                <w:sz w:val="18"/>
                <w:lang w:eastAsia="zh-CN"/>
              </w:rPr>
              <w:t>/AI</w:t>
            </w:r>
            <w:r>
              <w:rPr>
                <w:sz w:val="18"/>
                <w:lang w:eastAsia="zh-CN"/>
              </w:rPr>
              <w:t>声明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兼顾内容价值、传播效果和规范使用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西南交通大学由设计艺术学院组织校内征集、形式审查和推荐；通过校内评审的作品进入四川省赛。若当届赛事与全国大学生工业设计大赛衔接，后续推荐方式以省赛通知为准。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报名类别、作品尺寸、展板数量、模型和视频要求会随年度调整；使用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生成内容、第三方素材或联合知识产权时，应保留过程记录并按当届规则作出说明。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选题与组队</w:t>
      </w:r>
      <w:r>
        <w:rPr>
          <w:lang w:eastAsia="zh-CN"/>
        </w:rPr>
        <w:t xml:space="preserve"> → </w:t>
      </w:r>
      <w:r>
        <w:rPr>
          <w:lang w:eastAsia="zh-CN"/>
        </w:rPr>
        <w:t>西南交大校内征集</w:t>
      </w:r>
      <w:r>
        <w:rPr>
          <w:lang w:eastAsia="zh-CN"/>
        </w:rPr>
        <w:t xml:space="preserve"> → </w:t>
      </w:r>
      <w:r>
        <w:rPr>
          <w:lang w:eastAsia="zh-CN"/>
        </w:rPr>
        <w:t>四川省赛报名</w:t>
      </w:r>
      <w:r>
        <w:rPr>
          <w:lang w:eastAsia="zh-CN"/>
        </w:rPr>
        <w:t>/</w:t>
      </w:r>
      <w:r>
        <w:rPr>
          <w:lang w:eastAsia="zh-CN"/>
        </w:rPr>
        <w:t>提交</w:t>
      </w:r>
      <w:r>
        <w:rPr>
          <w:lang w:eastAsia="zh-CN"/>
        </w:rPr>
        <w:t xml:space="preserve"> → </w:t>
      </w:r>
      <w:r>
        <w:rPr>
          <w:lang w:eastAsia="zh-CN"/>
        </w:rPr>
        <w:t>四川省评审与展示</w:t>
      </w:r>
      <w:r>
        <w:rPr>
          <w:lang w:eastAsia="zh-CN"/>
        </w:rPr>
        <w:t xml:space="preserve"> → </w:t>
      </w:r>
      <w:r>
        <w:rPr>
          <w:lang w:eastAsia="zh-CN"/>
        </w:rPr>
        <w:t>全国衔接</w:t>
      </w:r>
      <w:r>
        <w:rPr>
          <w:lang w:eastAsia="zh-CN"/>
        </w:rPr>
        <w:t>/</w:t>
      </w:r>
      <w:r>
        <w:rPr>
          <w:lang w:eastAsia="zh-CN"/>
        </w:rPr>
        <w:t>成果归档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省赛主题为</w:t>
      </w:r>
      <w:r>
        <w:rPr>
          <w:lang w:eastAsia="zh-CN"/>
        </w:rPr>
        <w:t>“AI·ài·@i”</w:t>
      </w:r>
      <w:r>
        <w:rPr>
          <w:lang w:eastAsia="zh-CN"/>
        </w:rPr>
        <w:t>，校内通常先于省赛截止组织汇总。省级结果、实物展示和后续全国推荐时间以四川赛区正式通知为准。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工业设计不是只画一张效果图：高质量作品必须同时说明用户问题、设计依据、结构或交互、使用流程、制造可行性以及改进验证。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研究与定义、设计与原型、呈现与规范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研究与定义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用户访谈、问卷、观察、竞品分析、设计思维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能找到真实痛点，形成用户画像、需求排序和清晰设计目标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设计与原型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Rhino/SolidWorks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KeyShot/Blender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Figma</w:t>
            </w:r>
            <w:r>
              <w:rPr>
                <w:sz w:val="18"/>
              </w:rPr>
              <w:lastRenderedPageBreak/>
              <w:t>及模型制作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能完成结构或交互方案，制作可演示原型并</w:t>
            </w:r>
            <w:r>
              <w:rPr>
                <w:sz w:val="18"/>
                <w:lang w:eastAsia="zh-CN"/>
              </w:rPr>
              <w:lastRenderedPageBreak/>
              <w:t>根据测试迭代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呈现与规范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Photoshop/Illustrator</w:t>
            </w:r>
            <w:r>
              <w:rPr>
                <w:sz w:val="18"/>
              </w:rPr>
              <w:t>、版式、视频、材料工艺与知识产权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能用展板和视频讲清过程、创新与可行性，并规范处理素材和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使用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可个人或团队参赛，作者和指导教师人数按类别细则执行；建议由调研策划、产品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交互设计、模型实现与视觉表达成员协作。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报名资格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在校本科生或研究生按当届类别个人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团队报名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作者、指导教师及跨校组队限制以四川赛区细则为准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原创与提交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作品须原创，按校内要求同时完成平台报名和材料汇总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模型、展板、视频、承诺书及命名必须一致且按时提交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研究与定义主责：能找到真实痛点，形成用户画像、需求排序和清晰设计目标；设计与原型主责：能完成结构或交互方案，制作可演示原型并根据测试迭代；呈现与规范主责：能用展板和视频讲清过程、创新与可行性，并规范处理素材和</w:t>
      </w:r>
      <w:r>
        <w:rPr>
          <w:lang w:eastAsia="zh-CN"/>
        </w:rPr>
        <w:t>AI</w:t>
      </w:r>
      <w:r>
        <w:rPr>
          <w:lang w:eastAsia="zh-CN"/>
        </w:rPr>
        <w:t>使用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尽早确定报赛类别和最终输出规格；保留草图、调研、建模、样机、测试与迭代证据，避免只有最终渲染图而缺少设计过程。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物理学院可从光电仪器、实验教学设备、智能感知产品、科学可视化和无障碍科技产品切入，与设计学院同学跨专业组队。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选题与组队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年春季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初夏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确定类别，完成调研、方案和原型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校内准备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西南交大校内征集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通常早于省赛截止</w:t>
            </w:r>
            <w:r>
              <w:rPr>
                <w:sz w:val="18"/>
              </w:rPr>
              <w:t>1—3</w:t>
            </w:r>
            <w:r>
              <w:rPr>
                <w:sz w:val="18"/>
              </w:rPr>
              <w:t>周；以设计艺术学院通知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提交作品、汇总表与承诺材料并接受形式审查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四川省赛报名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提交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月下旬前后；以四川赛区系统为准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完成省级平台填报和最终作品上传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四川省评审与展示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年下半年；具体日期待通知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参加专家评审、实物核验或现场展示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全国衔接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成果归档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如当届设置推荐则另行通知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按推荐要求完善实物、展板和答辩材料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全国衔接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校内沉淀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届四川赛区已启动，校内具体征集节点以设计艺术学院和本科生院通知为准；未公开确定的评审日期不作硬性承诺。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周）：补齐研究与定义所需基础，并完成一个小练习。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个月）：围绕设计与原型完成可运行、可验证的阶段成果。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全国大学生工业设计大赛四川赛区通知参考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赛事报名与作品提交节点参考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全国大学生工业设计大赛官网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西南交通大学设计艺术学院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四川省教育厅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日；报名资格、赛项、名额和日期以本科生院、设计艺术学院及赛事官方当届通知为准。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B00E" w14:textId="77777777" w:rsidR="008C1EC4" w:rsidRDefault="008C1EC4">
      <w:pPr>
        <w:spacing w:after="0" w:line="240" w:lineRule="auto"/>
      </w:pPr>
      <w:r>
        <w:separator/>
      </w:r>
    </w:p>
  </w:endnote>
  <w:endnote w:type="continuationSeparator" w:id="0">
    <w:p w14:paraId="1E66982E" w14:textId="77777777" w:rsidR="008C1EC4" w:rsidRDefault="008C1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F3473" w14:textId="77777777" w:rsidR="008C1EC4" w:rsidRDefault="008C1EC4">
      <w:pPr>
        <w:spacing w:after="0" w:line="240" w:lineRule="auto"/>
      </w:pPr>
      <w:r>
        <w:separator/>
      </w:r>
    </w:p>
  </w:footnote>
  <w:footnote w:type="continuationSeparator" w:id="0">
    <w:p w14:paraId="4E83C44F" w14:textId="77777777" w:rsidR="008C1EC4" w:rsidRDefault="008C1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F59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C1EC4"/>
    <w:rsid w:val="00911293"/>
    <w:rsid w:val="0097745B"/>
    <w:rsid w:val="00AA1D8D"/>
    <w:rsid w:val="00B47730"/>
    <w:rsid w:val="00BE429E"/>
    <w:rsid w:val="00C31C13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design.swjtu.edu.cn/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uidc.net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.cqust.edu.cn/__local/2/02/29/61B4CEC7404E75CA11A0BBAE188_477D767F_39A51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cxcyxy.cdu.edu.cn/info/1019/4316.ht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edu.sc.gov.c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2026-07-30T14:47:00Z</dcterms:created>
  <dcterms:modified xsi:type="dcterms:W3CDTF">2026-07-30T14:47:00Z</dcterms:modified>
  <cp:category/>
</cp:coreProperties>
</file>