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jc w:val="left"/>
      </w:pPr>
      <w:r>
        <w:rPr>
          <w:rFonts w:ascii="Calibri" w:hAnsi="Calibri"/>
          <w:b/>
          <w:color w:val="0B5F53"/>
          <w:sz w:val="20"/>
        </w:rPr>
        <w:t>SC6113 — INDIVIDUAL ASSIGNMENT</w:t>
      </w:r>
    </w:p>
    <w:p>
      <w:pPr>
        <w:spacing w:after="120"/>
      </w:pPr>
      <w:r>
        <w:rPr>
          <w:rFonts w:ascii="Calibri" w:hAnsi="Calibri"/>
          <w:b/>
          <w:color w:val="14171C"/>
          <w:sz w:val="40"/>
        </w:rPr>
        <w:t>MicroLend: A Peer-to-Pool Micro-Lending Decentralised Application on Ethereum</w:t>
      </w:r>
    </w:p>
    <w:p>
      <w:pPr>
        <w:pBdr>
          <w:bottom w:val="single" w:sz="6" w:space="2" w:color="D8DCE2"/>
        </w:pBdr>
      </w:pPr>
      <w:r>
        <w:rPr>
          <w:rFonts w:ascii="Calibri" w:hAnsi="Calibri"/>
          <w:color w:val="5A6372"/>
          <w:sz w:val="26"/>
        </w:rPr>
        <w:t>Design, implementation and evaluation of an Ethereum smart-contract lending protocol with a MetaMask web client and a Flask indexer</w:t>
      </w:r>
    </w:p>
    <w:p>
      <w:pPr>
        <w:spacing w:after="160"/>
      </w:pPr>
    </w:p>
    <w:p>
      <w:pPr>
        <w:spacing w:after="20"/>
      </w:pPr>
      <w:r>
        <w:rPr>
          <w:rFonts w:ascii="Calibri" w:hAnsi="Calibri"/>
          <w:b/>
          <w:color w:val="5A6372"/>
          <w:sz w:val="21"/>
        </w:rPr>
        <w:t>Student:</w:t>
      </w:r>
      <w:r>
        <w:rPr>
          <w:rFonts w:ascii="Calibri" w:hAnsi="Calibri"/>
          <w:color w:val="5A6372"/>
          <w:sz w:val="21"/>
        </w:rPr>
        <w:t xml:space="preserve"> ZHANG SHUJIA</w:t>
      </w:r>
    </w:p>
    <w:p>
      <w:pPr>
        <w:spacing w:after="20"/>
      </w:pPr>
      <w:r>
        <w:rPr>
          <w:rFonts w:ascii="Calibri" w:hAnsi="Calibri"/>
          <w:b/>
          <w:color w:val="5A6372"/>
          <w:sz w:val="21"/>
        </w:rPr>
        <w:t>Student ID:</w:t>
      </w:r>
      <w:r>
        <w:rPr>
          <w:rFonts w:ascii="Calibri" w:hAnsi="Calibri"/>
          <w:color w:val="5A6372"/>
          <w:sz w:val="21"/>
        </w:rPr>
        <w:t xml:space="preserve"> G2601577A</w:t>
      </w:r>
    </w:p>
    <w:p>
      <w:pPr>
        <w:spacing w:after="20"/>
      </w:pPr>
      <w:r>
        <w:rPr>
          <w:rFonts w:ascii="Calibri" w:hAnsi="Calibri"/>
          <w:b/>
          <w:color w:val="5A6372"/>
          <w:sz w:val="21"/>
        </w:rPr>
        <w:t>Course:</w:t>
      </w:r>
      <w:r>
        <w:rPr>
          <w:rFonts w:ascii="Calibri" w:hAnsi="Calibri"/>
          <w:color w:val="5A6372"/>
          <w:sz w:val="21"/>
        </w:rPr>
        <w:t xml:space="preserve"> SC6113 — Blockchain and Decentralised Applications</w:t>
      </w:r>
    </w:p>
    <w:p>
      <w:pPr>
        <w:spacing w:after="20"/>
      </w:pPr>
      <w:r>
        <w:rPr>
          <w:rFonts w:ascii="Calibri" w:hAnsi="Calibri"/>
          <w:b/>
          <w:color w:val="5A6372"/>
          <w:sz w:val="21"/>
        </w:rPr>
        <w:t>Deliverable:</w:t>
      </w:r>
      <w:r>
        <w:rPr>
          <w:rFonts w:ascii="Calibri" w:hAnsi="Calibri"/>
          <w:color w:val="5A6372"/>
          <w:sz w:val="21"/>
        </w:rPr>
        <w:t xml:space="preserve"> Individual Assignment — Financial Decentralised Application (DApp)</w:t>
      </w:r>
    </w:p>
    <w:p>
      <w:pPr>
        <w:spacing w:after="20"/>
      </w:pPr>
      <w:r>
        <w:rPr>
          <w:rFonts w:ascii="Calibri" w:hAnsi="Calibri"/>
          <w:b/>
          <w:color w:val="5A6372"/>
          <w:sz w:val="21"/>
        </w:rPr>
        <w:t>Project:</w:t>
      </w:r>
      <w:r>
        <w:rPr>
          <w:rFonts w:ascii="Calibri" w:hAnsi="Calibri"/>
          <w:color w:val="5A6372"/>
          <w:sz w:val="21"/>
        </w:rPr>
        <w:t xml:space="preserve"> MicroLend — peer-to-pool micro-lending protocol</w:t>
      </w:r>
    </w:p>
    <w:p>
      <w:pPr>
        <w:spacing w:after="20"/>
      </w:pPr>
      <w:r>
        <w:rPr>
          <w:rFonts w:ascii="Calibri" w:hAnsi="Calibri"/>
          <w:b/>
          <w:color w:val="5A6372"/>
          <w:sz w:val="21"/>
        </w:rPr>
        <w:t>Network:</w:t>
      </w:r>
      <w:r>
        <w:rPr>
          <w:rFonts w:ascii="Calibri" w:hAnsi="Calibri"/>
          <w:color w:val="5A6372"/>
          <w:sz w:val="21"/>
        </w:rPr>
        <w:t xml:space="preserve"> Ethereum Sepolia testnet (chainId 11155111)</w:t>
      </w:r>
    </w:p>
    <w:p>
      <w:pPr>
        <w:spacing w:after="20"/>
      </w:pPr>
      <w:r>
        <w:rPr>
          <w:rFonts w:ascii="Calibri" w:hAnsi="Calibri"/>
          <w:b/>
          <w:color w:val="5A6372"/>
          <w:sz w:val="21"/>
        </w:rPr>
        <w:t>Repository layout:</w:t>
      </w:r>
      <w:r>
        <w:rPr>
          <w:rFonts w:ascii="Calibri" w:hAnsi="Calibri"/>
          <w:color w:val="5A6372"/>
          <w:sz w:val="21"/>
        </w:rPr>
        <w:t xml:space="preserve"> </w:t>
      </w:r>
      <w:r>
        <w:rPr>
          <w:rFonts w:ascii="Consolas" w:hAnsi="Consolas"/>
          <w:color w:val="5A6372"/>
          <w:sz w:val="19"/>
        </w:rPr>
        <w:t>contracts/</w:t>
      </w:r>
      <w:r>
        <w:rPr>
          <w:rFonts w:ascii="Calibri" w:hAnsi="Calibri"/>
          <w:color w:val="5A6372"/>
          <w:sz w:val="21"/>
        </w:rPr>
        <w:t xml:space="preserve">, </w:t>
      </w:r>
      <w:r>
        <w:rPr>
          <w:rFonts w:ascii="Consolas" w:hAnsi="Consolas"/>
          <w:color w:val="5A6372"/>
          <w:sz w:val="19"/>
        </w:rPr>
        <w:t>backend/</w:t>
      </w:r>
      <w:r>
        <w:rPr>
          <w:rFonts w:ascii="Calibri" w:hAnsi="Calibri"/>
          <w:color w:val="5A6372"/>
          <w:sz w:val="21"/>
        </w:rPr>
        <w:t xml:space="preserve">, </w:t>
      </w:r>
      <w:r>
        <w:rPr>
          <w:rFonts w:ascii="Consolas" w:hAnsi="Consolas"/>
          <w:color w:val="5A6372"/>
          <w:sz w:val="19"/>
        </w:rPr>
        <w:t>frontend/</w:t>
      </w:r>
      <w:r>
        <w:rPr>
          <w:rFonts w:ascii="Calibri" w:hAnsi="Calibri"/>
          <w:color w:val="5A6372"/>
          <w:sz w:val="21"/>
        </w:rPr>
        <w:t xml:space="preserve">, </w:t>
      </w:r>
      <w:r>
        <w:rPr>
          <w:rFonts w:ascii="Consolas" w:hAnsi="Consolas"/>
          <w:color w:val="5A6372"/>
          <w:sz w:val="19"/>
        </w:rPr>
        <w:t>test/</w:t>
      </w:r>
      <w:r>
        <w:rPr>
          <w:rFonts w:ascii="Calibri" w:hAnsi="Calibri"/>
          <w:color w:val="5A6372"/>
          <w:sz w:val="21"/>
        </w:rPr>
        <w:t xml:space="preserve">, </w:t>
      </w:r>
      <w:r>
        <w:rPr>
          <w:rFonts w:ascii="Consolas" w:hAnsi="Consolas"/>
          <w:color w:val="5A6372"/>
          <w:sz w:val="19"/>
        </w:rPr>
        <w:t>scripts/</w:t>
      </w:r>
      <w:r>
        <w:rPr>
          <w:rFonts w:ascii="Calibri" w:hAnsi="Calibri"/>
          <w:color w:val="5A6372"/>
          <w:sz w:val="21"/>
        </w:rPr>
        <w:t xml:space="preserve">, </w:t>
      </w:r>
      <w:r>
        <w:rPr>
          <w:rFonts w:ascii="Consolas" w:hAnsi="Consolas"/>
          <w:color w:val="5A6372"/>
          <w:sz w:val="19"/>
        </w:rPr>
        <w:t>docs/</w:t>
      </w:r>
    </w:p>
    <w:p>
      <w:pPr>
        <w:spacing w:after="40"/>
      </w:pPr>
    </w:p>
    <w:p>
      <w:r>
        <w:rPr>
          <w:rFonts w:ascii="Calibri" w:hAnsi="Calibri"/>
          <w:b/>
          <w:color w:val="14171C"/>
          <w:sz w:val="21"/>
        </w:rPr>
        <w:t>SC6113 Individual Assignment — Financial Decentralized Application</w:t>
      </w:r>
    </w:p>
    <w:p>
      <w:pPr>
        <w:pBdr>
          <w:bottom w:val="single" w:sz="6" w:space="2" w:color="D8DCE2"/>
        </w:pBdr>
      </w:pPr>
    </w:p>
    <w:p>
      <w:pPr>
        <w:pStyle w:val="Heading3"/>
      </w:pPr>
      <w:r>
        <w:t>Document control</w:t>
      </w:r>
    </w:p>
    <w:tbl>
      <w:tblPr>
        <w:tblStyle w:val="TableGrid"/>
        <w:tblW w:type="auto" w:w="0"/>
        <w:jc w:val="center"/>
        <w:tblLook w:firstColumn="1" w:firstRow="1" w:lastColumn="0" w:lastRow="0" w:noHBand="0" w:noVBand="1" w:val="04A0"/>
      </w:tblPr>
      <w:tblGrid>
        <w:gridCol w:w="4975"/>
        <w:gridCol w:w="4975"/>
      </w:tblGrid>
      <w:tr>
        <w:tc>
          <w:tcPr>
            <w:tcW w:type="dxa" w:w="4975"/>
            <w:shd w:val="clear" w:color="auto" w:fill="E8F1EF"/>
          </w:tcPr>
          <w:p>
            <w:pPr>
              <w:spacing w:before="40" w:after="40"/>
            </w:pPr>
            <w:r/>
            <w:r>
              <w:rPr>
                <w:rFonts w:ascii="Calibri" w:hAnsi="Calibri"/>
                <w:b/>
                <w:color w:val="14171C"/>
                <w:sz w:val="15"/>
              </w:rPr>
              <w:t>Field</w:t>
            </w:r>
          </w:p>
        </w:tc>
        <w:tc>
          <w:tcPr>
            <w:tcW w:type="dxa" w:w="4975"/>
            <w:shd w:val="clear" w:color="auto" w:fill="E8F1EF"/>
          </w:tcPr>
          <w:p>
            <w:pPr>
              <w:spacing w:before="40" w:after="40"/>
            </w:pPr>
            <w:r/>
            <w:r>
              <w:rPr>
                <w:rFonts w:ascii="Calibri" w:hAnsi="Calibri"/>
                <w:b/>
                <w:color w:val="14171C"/>
                <w:sz w:val="15"/>
              </w:rPr>
              <w:t>Value</w:t>
            </w:r>
          </w:p>
        </w:tc>
      </w:tr>
      <w:tr>
        <w:tc>
          <w:tcPr>
            <w:tcW w:type="dxa" w:w="4975"/>
          </w:tcPr>
          <w:p>
            <w:pPr>
              <w:spacing w:before="40" w:after="40"/>
            </w:pPr>
            <w:r/>
            <w:r>
              <w:rPr>
                <w:rFonts w:ascii="Calibri" w:hAnsi="Calibri"/>
                <w:b w:val="0"/>
                <w:color w:val="14171C"/>
                <w:sz w:val="15"/>
              </w:rPr>
              <w:t>Student name</w:t>
            </w:r>
          </w:p>
        </w:tc>
        <w:tc>
          <w:tcPr>
            <w:tcW w:type="dxa" w:w="4975"/>
          </w:tcPr>
          <w:p>
            <w:pPr>
              <w:spacing w:before="40" w:after="40"/>
            </w:pPr>
            <w:r/>
            <w:r>
              <w:rPr>
                <w:rFonts w:ascii="Calibri" w:hAnsi="Calibri"/>
                <w:b w:val="0"/>
                <w:color w:val="14171C"/>
                <w:sz w:val="15"/>
              </w:rPr>
              <w:t>**ZHANG SHUJIA**</w:t>
            </w:r>
          </w:p>
        </w:tc>
      </w:tr>
      <w:tr>
        <w:tc>
          <w:tcPr>
            <w:tcW w:type="dxa" w:w="4975"/>
            <w:shd w:val="clear" w:color="auto" w:fill="F7F9FA"/>
          </w:tcPr>
          <w:p>
            <w:pPr>
              <w:spacing w:before="40" w:after="40"/>
            </w:pPr>
            <w:r/>
            <w:r>
              <w:rPr>
                <w:rFonts w:ascii="Calibri" w:hAnsi="Calibri"/>
                <w:b w:val="0"/>
                <w:color w:val="14171C"/>
                <w:sz w:val="15"/>
              </w:rPr>
              <w:t>Student ID</w:t>
            </w:r>
          </w:p>
        </w:tc>
        <w:tc>
          <w:tcPr>
            <w:tcW w:type="dxa" w:w="4975"/>
            <w:shd w:val="clear" w:color="auto" w:fill="F7F9FA"/>
          </w:tcPr>
          <w:p>
            <w:pPr>
              <w:spacing w:before="40" w:after="40"/>
            </w:pPr>
            <w:r/>
            <w:r>
              <w:rPr>
                <w:rFonts w:ascii="Calibri" w:hAnsi="Calibri"/>
                <w:b w:val="0"/>
                <w:color w:val="14171C"/>
                <w:sz w:val="15"/>
              </w:rPr>
              <w:t>**G2601577A**</w:t>
            </w:r>
          </w:p>
        </w:tc>
      </w:tr>
      <w:tr>
        <w:tc>
          <w:tcPr>
            <w:tcW w:type="dxa" w:w="4975"/>
          </w:tcPr>
          <w:p>
            <w:pPr>
              <w:spacing w:before="40" w:after="40"/>
            </w:pPr>
            <w:r/>
            <w:r>
              <w:rPr>
                <w:rFonts w:ascii="Calibri" w:hAnsi="Calibri"/>
                <w:b w:val="0"/>
                <w:color w:val="14171C"/>
                <w:sz w:val="15"/>
              </w:rPr>
              <w:t>Course</w:t>
            </w:r>
          </w:p>
        </w:tc>
        <w:tc>
          <w:tcPr>
            <w:tcW w:type="dxa" w:w="4975"/>
          </w:tcPr>
          <w:p>
            <w:pPr>
              <w:spacing w:before="40" w:after="40"/>
            </w:pPr>
            <w:r/>
            <w:r>
              <w:rPr>
                <w:rFonts w:ascii="Calibri" w:hAnsi="Calibri"/>
                <w:b w:val="0"/>
                <w:color w:val="14171C"/>
                <w:sz w:val="15"/>
              </w:rPr>
              <w:t>SC6113 — Blockchain and Decentralised Applications</w:t>
            </w:r>
          </w:p>
        </w:tc>
      </w:tr>
      <w:tr>
        <w:tc>
          <w:tcPr>
            <w:tcW w:type="dxa" w:w="4975"/>
            <w:shd w:val="clear" w:color="auto" w:fill="F7F9FA"/>
          </w:tcPr>
          <w:p>
            <w:pPr>
              <w:spacing w:before="40" w:after="40"/>
            </w:pPr>
            <w:r/>
            <w:r>
              <w:rPr>
                <w:rFonts w:ascii="Calibri" w:hAnsi="Calibri"/>
                <w:b w:val="0"/>
                <w:color w:val="14171C"/>
                <w:sz w:val="15"/>
              </w:rPr>
              <w:t>Assessment</w:t>
            </w:r>
          </w:p>
        </w:tc>
        <w:tc>
          <w:tcPr>
            <w:tcW w:type="dxa" w:w="4975"/>
            <w:shd w:val="clear" w:color="auto" w:fill="F7F9FA"/>
          </w:tcPr>
          <w:p>
            <w:pPr>
              <w:spacing w:before="40" w:after="40"/>
            </w:pPr>
            <w:r/>
            <w:r>
              <w:rPr>
                <w:rFonts w:ascii="Calibri" w:hAnsi="Calibri"/>
                <w:b w:val="0"/>
                <w:color w:val="14171C"/>
                <w:sz w:val="15"/>
              </w:rPr>
              <w:t>Individual Assignment — Financial Decentralized Application (DApp)</w:t>
            </w:r>
          </w:p>
        </w:tc>
      </w:tr>
      <w:tr>
        <w:tc>
          <w:tcPr>
            <w:tcW w:type="dxa" w:w="4975"/>
          </w:tcPr>
          <w:p>
            <w:pPr>
              <w:spacing w:before="40" w:after="40"/>
            </w:pPr>
            <w:r/>
            <w:r>
              <w:rPr>
                <w:rFonts w:ascii="Calibri" w:hAnsi="Calibri"/>
                <w:b w:val="0"/>
                <w:color w:val="14171C"/>
                <w:sz w:val="15"/>
              </w:rPr>
              <w:t>Project</w:t>
            </w:r>
          </w:p>
        </w:tc>
        <w:tc>
          <w:tcPr>
            <w:tcW w:type="dxa" w:w="4975"/>
          </w:tcPr>
          <w:p>
            <w:pPr>
              <w:spacing w:before="40" w:after="40"/>
            </w:pPr>
            <w:r/>
            <w:r>
              <w:rPr>
                <w:rFonts w:ascii="Calibri" w:hAnsi="Calibri"/>
                <w:b w:val="0"/>
                <w:color w:val="14171C"/>
                <w:sz w:val="15"/>
              </w:rPr>
              <w:t>MicroLend — peer-to-pool micro-lending protocol on Ethereum Sepolia (chainId 11155111)</w:t>
            </w:r>
          </w:p>
        </w:tc>
      </w:tr>
      <w:tr>
        <w:tc>
          <w:tcPr>
            <w:tcW w:type="dxa" w:w="4975"/>
            <w:shd w:val="clear" w:color="auto" w:fill="F7F9FA"/>
          </w:tcPr>
          <w:p>
            <w:pPr>
              <w:spacing w:before="40" w:after="40"/>
            </w:pPr>
            <w:r/>
            <w:r>
              <w:rPr>
                <w:rFonts w:ascii="Calibri" w:hAnsi="Calibri"/>
                <w:b w:val="0"/>
                <w:color w:val="14171C"/>
                <w:sz w:val="15"/>
              </w:rPr>
              <w:t>Live contract</w:t>
            </w:r>
          </w:p>
        </w:tc>
        <w:tc>
          <w:tcPr>
            <w:tcW w:type="dxa" w:w="4975"/>
            <w:shd w:val="clear" w:color="auto" w:fill="F7F9FA"/>
          </w:tcPr>
          <w:p>
            <w:pPr>
              <w:spacing w:before="40" w:after="40"/>
            </w:pPr>
            <w:r/>
            <w:r>
              <w:rPr>
                <w:rFonts w:ascii="Calibri" w:hAnsi="Calibri"/>
                <w:b w:val="0"/>
                <w:color w:val="14171C"/>
                <w:sz w:val="15"/>
              </w:rPr>
              <w:t>[`0xECDaCA02f7646A8182A57c6520318D0FebC8bDCA`](https://sepolia.etherscan.io/address/0xECDaCA02f7646A8182A57c6520318D0FebC8bDCA) — deployed block 11919472</w:t>
            </w:r>
          </w:p>
        </w:tc>
      </w:tr>
      <w:tr>
        <w:tc>
          <w:tcPr>
            <w:tcW w:type="dxa" w:w="4975"/>
          </w:tcPr>
          <w:p>
            <w:pPr>
              <w:spacing w:before="40" w:after="40"/>
            </w:pPr>
            <w:r/>
            <w:r>
              <w:rPr>
                <w:rFonts w:ascii="Calibri" w:hAnsi="Calibri"/>
                <w:b w:val="0"/>
                <w:color w:val="14171C"/>
                <w:sz w:val="15"/>
              </w:rPr>
              <w:t>Contract revision</w:t>
            </w:r>
          </w:p>
        </w:tc>
        <w:tc>
          <w:tcPr>
            <w:tcW w:type="dxa" w:w="4975"/>
          </w:tcPr>
          <w:p>
            <w:pPr>
              <w:spacing w:before="40" w:after="40"/>
            </w:pPr>
            <w:r/>
            <w:r>
              <w:rPr>
                <w:rFonts w:ascii="Calibri" w:hAnsi="Calibri"/>
                <w:b w:val="0"/>
                <w:color w:val="14171C"/>
                <w:sz w:val="15"/>
              </w:rPr>
              <w:t>`contracts/MicroLendPool.sol`, sha256 `e26e720a9c2eb75175679abb4a9f71cb403cfd466d3cd99fe547df8131964657`</w:t>
            </w:r>
          </w:p>
        </w:tc>
      </w:tr>
      <w:tr>
        <w:tc>
          <w:tcPr>
            <w:tcW w:type="dxa" w:w="4975"/>
            <w:shd w:val="clear" w:color="auto" w:fill="F7F9FA"/>
          </w:tcPr>
          <w:p>
            <w:pPr>
              <w:spacing w:before="40" w:after="40"/>
            </w:pPr>
            <w:r/>
            <w:r>
              <w:rPr>
                <w:rFonts w:ascii="Calibri" w:hAnsi="Calibri"/>
                <w:b w:val="0"/>
                <w:color w:val="14171C"/>
                <w:sz w:val="15"/>
              </w:rPr>
              <w:t>Companion evidence</w:t>
            </w:r>
          </w:p>
        </w:tc>
        <w:tc>
          <w:tcPr>
            <w:tcW w:type="dxa" w:w="4975"/>
            <w:shd w:val="clear" w:color="auto" w:fill="F7F9FA"/>
          </w:tcPr>
          <w:p>
            <w:pPr>
              <w:spacing w:before="40" w:after="40"/>
            </w:pPr>
            <w:r/>
            <w:r>
              <w:rPr>
                <w:rFonts w:ascii="Calibri" w:hAnsi="Calibri"/>
                <w:b w:val="0"/>
                <w:color w:val="14171C"/>
                <w:sz w:val="15"/>
              </w:rPr>
              <w:t>`docs/TESTING.md` (raw command output, endpoint matrix, findings), `docs/SCREENSHOTS.md`, `frontend/screenshots/`</w:t>
            </w:r>
          </w:p>
        </w:tc>
      </w:tr>
    </w:tbl>
    <w:p>
      <w:pPr>
        <w:spacing w:after="80"/>
      </w:pPr>
    </w:p>
    <w:p>
      <w:r>
        <w:rPr>
          <w:rFonts w:ascii="Calibri" w:hAnsi="Calibri"/>
          <w:color w:val="14171C"/>
          <w:sz w:val="21"/>
        </w:rPr>
        <w:t>*Submitted by ZHANG SHUJIA (G2601577A) for SC6113 Individual Assignment.*</w:t>
      </w:r>
    </w:p>
    <w:p>
      <w:pPr>
        <w:pBdr>
          <w:bottom w:val="single" w:sz="6" w:space="2" w:color="D8DCE2"/>
        </w:pBdr>
      </w:pPr>
    </w:p>
    <w:p>
      <w:pPr>
        <w:pStyle w:val="Heading2"/>
      </w:pPr>
      <w:r>
        <w:t>1. Introduction</w:t>
      </w:r>
    </w:p>
    <w:p>
      <w:r>
        <w:rPr>
          <w:rFonts w:ascii="Calibri" w:hAnsi="Calibri"/>
          <w:color w:val="14171C"/>
          <w:sz w:val="21"/>
        </w:rPr>
        <w:t>Decentralised finance works because the rules are public: a lender can verify the arithmetic that pays them, and a borrower can verify the terms they agreed to, without trusting an intermediary. Most student DApps demonstrate this by wrapping a token contract. This project instead builds the part that is genuinely hard — a credit market that must stay solvent while loans move through their lifecycle.</w:t>
      </w:r>
    </w:p>
    <w:p>
      <w:r>
        <w:rPr>
          <w:rFonts w:ascii="Calibri" w:hAnsi="Calibri"/>
          <w:b/>
          <w:color w:val="14171C"/>
          <w:sz w:val="21"/>
        </w:rPr>
        <w:t>MicroLend</w:t>
      </w:r>
      <w:r>
        <w:rPr>
          <w:rFonts w:ascii="Calibri" w:hAnsi="Calibri"/>
          <w:color w:val="14171C"/>
          <w:sz w:val="21"/>
        </w:rPr>
        <w:t xml:space="preserve"> is a peer-to-pool micro-lending protocol on Ethereum. Suppliers deposit ETH and receive pool shares; borrowers post collateral and draw loans at a fixed simple-interest rate; loans are repaid, or liquidated after their due date if they are not. Every rule that moves money is enforced in one self-contained Solidity contract, and the browser client, the indexing service and the test suite are all built to agree with it exactly.</w:t>
      </w:r>
    </w:p>
    <w:p>
      <w:r>
        <w:rPr>
          <w:rFonts w:ascii="Calibri" w:hAnsi="Calibri"/>
          <w:color w:val="14171C"/>
          <w:sz w:val="21"/>
        </w:rPr>
        <w:t xml:space="preserve">The submission is deliberately verifiable: 811 contract assertions run against a real EVM, 122 backend tests run against the API, a browser client works with an unmodified MetaMask wallet, and an offline demo mirrors the contract arithmetic so the DApp can be graded with no testnet funds. Everything reported here was measured in this repository; the raw output lives in </w:t>
      </w:r>
      <w:r>
        <w:rPr>
          <w:rFonts w:ascii="Consolas" w:hAnsi="Consolas"/>
          <w:color w:val="0B5F53"/>
          <w:sz w:val="19"/>
        </w:rPr>
        <w:t>docs/TESTING.md</w:t>
      </w:r>
      <w:r>
        <w:rPr>
          <w:rFonts w:ascii="Calibri" w:hAnsi="Calibri"/>
          <w:color w:val="14171C"/>
          <w:sz w:val="21"/>
        </w:rPr>
        <w:t>.</w:t>
      </w:r>
    </w:p>
    <w:p>
      <w:pPr>
        <w:pStyle w:val="Heading2"/>
      </w:pPr>
      <w:r>
        <w:t>2. Problem Statement</w:t>
      </w:r>
    </w:p>
    <w:p>
      <w:r>
        <w:rPr>
          <w:rFonts w:ascii="Calibri" w:hAnsi="Calibri"/>
          <w:color w:val="14171C"/>
          <w:sz w:val="21"/>
        </w:rPr>
        <w:t>Micro-credit is expensive to administer. Screening a borrower, drawing up terms, tracking repayment and pursuing a default cost more per loan than the loan is worth, which is why small borrowers are excluded rather than rejected. Centralised platforms solve the cost problem by becoming the counterparty — and then hold the funds, set the terms and decide who may participate.</w:t>
      </w:r>
    </w:p>
    <w:p>
      <w:r>
        <w:rPr>
          <w:rFonts w:ascii="Calibri" w:hAnsi="Calibri"/>
          <w:color w:val="14171C"/>
          <w:sz w:val="21"/>
        </w:rPr>
        <w:t>A smart contract can remove the administrator without removing the discipline. The rules become deterministic code: collateral is locked before a loan exists, interest is computed the same way for everyone, and a missed due date triggers liquidation whether or not anyone is watching. What is left is an engineering problem with four hard parts.</w:t>
      </w:r>
    </w:p>
    <w:tbl>
      <w:tblPr>
        <w:tblStyle w:val="TableGrid"/>
        <w:tblW w:type="auto" w:w="0"/>
        <w:jc w:val="center"/>
        <w:tblLook w:firstColumn="1" w:firstRow="1" w:lastColumn="0" w:lastRow="0" w:noHBand="0" w:noVBand="1" w:val="04A0"/>
      </w:tblPr>
      <w:tblGrid>
        <w:gridCol w:w="3317"/>
        <w:gridCol w:w="3317"/>
        <w:gridCol w:w="3317"/>
      </w:tblGrid>
      <w:tr>
        <w:tc>
          <w:tcPr>
            <w:tcW w:type="dxa" w:w="3317"/>
            <w:shd w:val="clear" w:color="auto" w:fill="E8F1EF"/>
          </w:tcPr>
          <w:p>
            <w:pPr>
              <w:spacing w:before="40" w:after="40"/>
            </w:pPr>
            <w:r/>
            <w:r>
              <w:rPr>
                <w:rFonts w:ascii="Calibri" w:hAnsi="Calibri"/>
                <w:b/>
                <w:color w:val="14171C"/>
                <w:sz w:val="15"/>
              </w:rPr>
              <w:t>#</w:t>
            </w:r>
          </w:p>
        </w:tc>
        <w:tc>
          <w:tcPr>
            <w:tcW w:type="dxa" w:w="3317"/>
            <w:shd w:val="clear" w:color="auto" w:fill="E8F1EF"/>
          </w:tcPr>
          <w:p>
            <w:pPr>
              <w:spacing w:before="40" w:after="40"/>
            </w:pPr>
            <w:r/>
            <w:r>
              <w:rPr>
                <w:rFonts w:ascii="Calibri" w:hAnsi="Calibri"/>
                <w:b/>
                <w:color w:val="14171C"/>
                <w:sz w:val="15"/>
              </w:rPr>
              <w:t>Problem</w:t>
            </w:r>
          </w:p>
        </w:tc>
        <w:tc>
          <w:tcPr>
            <w:tcW w:type="dxa" w:w="3317"/>
            <w:shd w:val="clear" w:color="auto" w:fill="E8F1EF"/>
          </w:tcPr>
          <w:p>
            <w:pPr>
              <w:spacing w:before="40" w:after="40"/>
            </w:pPr>
            <w:r/>
            <w:r>
              <w:rPr>
                <w:rFonts w:ascii="Calibri" w:hAnsi="Calibri"/>
                <w:b/>
                <w:color w:val="14171C"/>
                <w:sz w:val="15"/>
              </w:rPr>
              <w:t>Why it is hard</w:t>
            </w:r>
          </w:p>
        </w:tc>
      </w:tr>
      <w:tr>
        <w:tc>
          <w:tcPr>
            <w:tcW w:type="dxa" w:w="3317"/>
          </w:tcPr>
          <w:p>
            <w:pPr>
              <w:spacing w:before="40" w:after="40"/>
            </w:pPr>
            <w:r/>
            <w:r>
              <w:rPr>
                <w:rFonts w:ascii="Calibri" w:hAnsi="Calibri"/>
                <w:b w:val="0"/>
                <w:color w:val="14171C"/>
                <w:sz w:val="15"/>
              </w:rPr>
              <w:t>P1</w:t>
            </w:r>
          </w:p>
        </w:tc>
        <w:tc>
          <w:tcPr>
            <w:tcW w:type="dxa" w:w="3317"/>
          </w:tcPr>
          <w:p>
            <w:pPr>
              <w:spacing w:before="40" w:after="40"/>
            </w:pPr>
            <w:r/>
            <w:r>
              <w:rPr>
                <w:rFonts w:ascii="Calibri" w:hAnsi="Calibri"/>
                <w:b w:val="0"/>
                <w:color w:val="14171C"/>
                <w:sz w:val="15"/>
              </w:rPr>
              <w:t>Share accounting</w:t>
            </w:r>
          </w:p>
        </w:tc>
        <w:tc>
          <w:tcPr>
            <w:tcW w:type="dxa" w:w="3317"/>
          </w:tcPr>
          <w:p>
            <w:pPr>
              <w:spacing w:before="40" w:after="40"/>
            </w:pPr>
            <w:r/>
            <w:r>
              <w:rPr>
                <w:rFonts w:ascii="Calibri" w:hAnsi="Calibri"/>
                <w:b w:val="0"/>
                <w:color w:val="14171C"/>
                <w:sz w:val="15"/>
              </w:rPr>
              <w:t>suppliers join and leave a pooled balance that is partly lent out, so a share must track a claim on liquidity that is not always present</w:t>
            </w:r>
          </w:p>
        </w:tc>
      </w:tr>
      <w:tr>
        <w:tc>
          <w:tcPr>
            <w:tcW w:type="dxa" w:w="3317"/>
            <w:shd w:val="clear" w:color="auto" w:fill="F7F9FA"/>
          </w:tcPr>
          <w:p>
            <w:pPr>
              <w:spacing w:before="40" w:after="40"/>
            </w:pPr>
            <w:r/>
            <w:r>
              <w:rPr>
                <w:rFonts w:ascii="Calibri" w:hAnsi="Calibri"/>
                <w:b w:val="0"/>
                <w:color w:val="14171C"/>
                <w:sz w:val="15"/>
              </w:rPr>
              <w:t>P2</w:t>
            </w:r>
          </w:p>
        </w:tc>
        <w:tc>
          <w:tcPr>
            <w:tcW w:type="dxa" w:w="3317"/>
            <w:shd w:val="clear" w:color="auto" w:fill="F7F9FA"/>
          </w:tcPr>
          <w:p>
            <w:pPr>
              <w:spacing w:before="40" w:after="40"/>
            </w:pPr>
            <w:r/>
            <w:r>
              <w:rPr>
                <w:rFonts w:ascii="Calibri" w:hAnsi="Calibri"/>
                <w:b w:val="0"/>
                <w:color w:val="14171C"/>
                <w:sz w:val="15"/>
              </w:rPr>
              <w:t>Deterministic credit pricing</w:t>
            </w:r>
          </w:p>
        </w:tc>
        <w:tc>
          <w:tcPr>
            <w:tcW w:type="dxa" w:w="3317"/>
            <w:shd w:val="clear" w:color="auto" w:fill="F7F9FA"/>
          </w:tcPr>
          <w:p>
            <w:pPr>
              <w:spacing w:before="40" w:after="40"/>
            </w:pPr>
            <w:r/>
            <w:r>
              <w:rPr>
                <w:rFonts w:ascii="Calibri" w:hAnsi="Calibri"/>
                <w:b w:val="0"/>
                <w:color w:val="14171C"/>
                <w:sz w:val="15"/>
              </w:rPr>
              <w:t>interest, fees and penalties must be reproducible to the wei, and must not depend on an external price feed that can be stale or manipulated</w:t>
            </w:r>
          </w:p>
        </w:tc>
      </w:tr>
      <w:tr>
        <w:tc>
          <w:tcPr>
            <w:tcW w:type="dxa" w:w="3317"/>
          </w:tcPr>
          <w:p>
            <w:pPr>
              <w:spacing w:before="40" w:after="40"/>
            </w:pPr>
            <w:r/>
            <w:r>
              <w:rPr>
                <w:rFonts w:ascii="Calibri" w:hAnsi="Calibri"/>
                <w:b w:val="0"/>
                <w:color w:val="14171C"/>
                <w:sz w:val="15"/>
              </w:rPr>
              <w:t>P3</w:t>
            </w:r>
          </w:p>
        </w:tc>
        <w:tc>
          <w:tcPr>
            <w:tcW w:type="dxa" w:w="3317"/>
          </w:tcPr>
          <w:p>
            <w:pPr>
              <w:spacing w:before="40" w:after="40"/>
            </w:pPr>
            <w:r/>
            <w:r>
              <w:rPr>
                <w:rFonts w:ascii="Calibri" w:hAnsi="Calibri"/>
                <w:b w:val="0"/>
                <w:color w:val="14171C"/>
                <w:sz w:val="15"/>
              </w:rPr>
              <w:t>Solvency under default</w:t>
            </w:r>
          </w:p>
        </w:tc>
        <w:tc>
          <w:tcPr>
            <w:tcW w:type="dxa" w:w="3317"/>
          </w:tcPr>
          <w:p>
            <w:pPr>
              <w:spacing w:before="40" w:after="40"/>
            </w:pPr>
            <w:r/>
            <w:r>
              <w:rPr>
                <w:rFonts w:ascii="Calibri" w:hAnsi="Calibri"/>
                <w:b w:val="0"/>
                <w:color w:val="14171C"/>
                <w:sz w:val="15"/>
              </w:rPr>
              <w:t>a borrower who does not repay must not be able to make the pool promise more than it holds</w:t>
            </w:r>
          </w:p>
        </w:tc>
      </w:tr>
      <w:tr>
        <w:tc>
          <w:tcPr>
            <w:tcW w:type="dxa" w:w="3317"/>
            <w:shd w:val="clear" w:color="auto" w:fill="F7F9FA"/>
          </w:tcPr>
          <w:p>
            <w:pPr>
              <w:spacing w:before="40" w:after="40"/>
            </w:pPr>
            <w:r/>
            <w:r>
              <w:rPr>
                <w:rFonts w:ascii="Calibri" w:hAnsi="Calibri"/>
                <w:b w:val="0"/>
                <w:color w:val="14171C"/>
                <w:sz w:val="15"/>
              </w:rPr>
              <w:t>P4</w:t>
            </w:r>
          </w:p>
        </w:tc>
        <w:tc>
          <w:tcPr>
            <w:tcW w:type="dxa" w:w="3317"/>
            <w:shd w:val="clear" w:color="auto" w:fill="F7F9FA"/>
          </w:tcPr>
          <w:p>
            <w:pPr>
              <w:spacing w:before="40" w:after="40"/>
            </w:pPr>
            <w:r/>
            <w:r>
              <w:rPr>
                <w:rFonts w:ascii="Calibri" w:hAnsi="Calibri"/>
                <w:b w:val="0"/>
                <w:color w:val="14171C"/>
                <w:sz w:val="15"/>
              </w:rPr>
              <w:t>Trust between the chain and the database</w:t>
            </w:r>
          </w:p>
        </w:tc>
        <w:tc>
          <w:tcPr>
            <w:tcW w:type="dxa" w:w="3317"/>
            <w:shd w:val="clear" w:color="auto" w:fill="F7F9FA"/>
          </w:tcPr>
          <w:p>
            <w:pPr>
              <w:spacing w:before="40" w:after="40"/>
            </w:pPr>
            <w:r/>
            <w:r>
              <w:rPr>
                <w:rFonts w:ascii="Calibri" w:hAnsi="Calibri"/>
                <w:b w:val="0"/>
                <w:color w:val="14171C"/>
                <w:sz w:val="15"/>
              </w:rPr>
              <w:t>an indexer that records what it is told is worse than no indexer, because it looks authoritative</w:t>
            </w:r>
          </w:p>
        </w:tc>
      </w:tr>
    </w:tbl>
    <w:p>
      <w:pPr>
        <w:spacing w:after="80"/>
      </w:pPr>
    </w:p>
    <w:p>
      <w:r>
        <w:rPr>
          <w:rFonts w:ascii="Calibri" w:hAnsi="Calibri"/>
          <w:b/>
          <w:color w:val="14171C"/>
          <w:sz w:val="21"/>
        </w:rPr>
        <w:t>Scope.</w:t>
      </w:r>
      <w:r>
        <w:rPr>
          <w:rFonts w:ascii="Calibri" w:hAnsi="Calibri"/>
          <w:color w:val="14171C"/>
          <w:sz w:val="21"/>
        </w:rPr>
        <w:t xml:space="preserve"> MicroLend addresses P1–P4 for a single-asset (ETH) lending market with over- collateralised loans, and deliberately omits cross-asset risk, interest-rate models and governance. Those omissions are stated as limitations in §11 rather than hidden.</w:t>
      </w:r>
    </w:p>
    <w:p>
      <w:pPr>
        <w:pStyle w:val="Heading2"/>
      </w:pPr>
      <w:r>
        <w:t>3. Objectives</w:t>
      </w:r>
    </w:p>
    <w:p>
      <w:r>
        <w:rPr>
          <w:rFonts w:ascii="Calibri" w:hAnsi="Calibri"/>
          <w:color w:val="14171C"/>
          <w:sz w:val="21"/>
        </w:rPr>
        <w:t xml:space="preserve">The deliverable is measured against six testable objectives, each of which is evidenced elsewhere in this report and in </w:t>
      </w:r>
      <w:r>
        <w:rPr>
          <w:rFonts w:ascii="Consolas" w:hAnsi="Consolas"/>
          <w:color w:val="0B5F53"/>
          <w:sz w:val="19"/>
        </w:rPr>
        <w:t>docs/TESTING.md</w:t>
      </w:r>
      <w:r>
        <w:rPr>
          <w:rFonts w:ascii="Calibri" w:hAnsi="Calibri"/>
          <w:color w:val="14171C"/>
          <w:sz w:val="21"/>
        </w:rPr>
        <w:t>.</w:t>
      </w:r>
    </w:p>
    <w:tbl>
      <w:tblPr>
        <w:tblStyle w:val="TableGrid"/>
        <w:tblW w:type="auto" w:w="0"/>
        <w:jc w:val="center"/>
        <w:tblLook w:firstColumn="1" w:firstRow="1" w:lastColumn="0" w:lastRow="0" w:noHBand="0" w:noVBand="1" w:val="04A0"/>
      </w:tblPr>
      <w:tblGrid>
        <w:gridCol w:w="2488"/>
        <w:gridCol w:w="2488"/>
        <w:gridCol w:w="2488"/>
        <w:gridCol w:w="2488"/>
      </w:tblGrid>
      <w:tr>
        <w:tc>
          <w:tcPr>
            <w:tcW w:type="dxa" w:w="2488"/>
            <w:shd w:val="clear" w:color="auto" w:fill="E8F1EF"/>
          </w:tcPr>
          <w:p>
            <w:pPr>
              <w:spacing w:before="40" w:after="40"/>
            </w:pPr>
            <w:r/>
            <w:r>
              <w:rPr>
                <w:rFonts w:ascii="Calibri" w:hAnsi="Calibri"/>
                <w:b/>
                <w:color w:val="14171C"/>
                <w:sz w:val="15"/>
              </w:rPr>
              <w:t>#</w:t>
            </w:r>
          </w:p>
        </w:tc>
        <w:tc>
          <w:tcPr>
            <w:tcW w:type="dxa" w:w="2488"/>
            <w:shd w:val="clear" w:color="auto" w:fill="E8F1EF"/>
          </w:tcPr>
          <w:p>
            <w:pPr>
              <w:spacing w:before="40" w:after="40"/>
            </w:pPr>
            <w:r/>
            <w:r>
              <w:rPr>
                <w:rFonts w:ascii="Calibri" w:hAnsi="Calibri"/>
                <w:b/>
                <w:color w:val="14171C"/>
                <w:sz w:val="15"/>
              </w:rPr>
              <w:t>Objective</w:t>
            </w:r>
          </w:p>
        </w:tc>
        <w:tc>
          <w:tcPr>
            <w:tcW w:type="dxa" w:w="2488"/>
            <w:shd w:val="clear" w:color="auto" w:fill="E8F1EF"/>
          </w:tcPr>
          <w:p>
            <w:pPr>
              <w:spacing w:before="40" w:after="40"/>
            </w:pPr>
            <w:r/>
            <w:r>
              <w:rPr>
                <w:rFonts w:ascii="Calibri" w:hAnsi="Calibri"/>
                <w:b/>
                <w:color w:val="14171C"/>
                <w:sz w:val="15"/>
              </w:rPr>
              <w:t>Acceptance test</w:t>
            </w:r>
          </w:p>
        </w:tc>
        <w:tc>
          <w:tcPr>
            <w:tcW w:type="dxa" w:w="2488"/>
            <w:shd w:val="clear" w:color="auto" w:fill="E8F1EF"/>
          </w:tcPr>
          <w:p>
            <w:pPr>
              <w:spacing w:before="40" w:after="40"/>
            </w:pPr>
            <w:r/>
            <w:r>
              <w:rPr>
                <w:rFonts w:ascii="Calibri" w:hAnsi="Calibri"/>
                <w:b/>
                <w:color w:val="14171C"/>
                <w:sz w:val="15"/>
              </w:rPr>
              <w:t>Result</w:t>
            </w:r>
          </w:p>
        </w:tc>
      </w:tr>
      <w:tr>
        <w:tc>
          <w:tcPr>
            <w:tcW w:type="dxa" w:w="2488"/>
          </w:tcPr>
          <w:p>
            <w:pPr>
              <w:spacing w:before="40" w:after="40"/>
            </w:pPr>
            <w:r/>
            <w:r>
              <w:rPr>
                <w:rFonts w:ascii="Calibri" w:hAnsi="Calibri"/>
                <w:b w:val="0"/>
                <w:color w:val="14171C"/>
                <w:sz w:val="15"/>
              </w:rPr>
              <w:t>O1</w:t>
            </w:r>
          </w:p>
        </w:tc>
        <w:tc>
          <w:tcPr>
            <w:tcW w:type="dxa" w:w="2488"/>
          </w:tcPr>
          <w:p>
            <w:pPr>
              <w:spacing w:before="40" w:after="40"/>
            </w:pPr>
            <w:r/>
            <w:r>
              <w:rPr>
                <w:rFonts w:ascii="Calibri" w:hAnsi="Calibri"/>
                <w:b w:val="0"/>
                <w:color w:val="14171C"/>
                <w:sz w:val="15"/>
              </w:rPr>
              <w:t>Implement an original DeFi protocol, not a template wrapper</w:t>
            </w:r>
          </w:p>
        </w:tc>
        <w:tc>
          <w:tcPr>
            <w:tcW w:type="dxa" w:w="2488"/>
          </w:tcPr>
          <w:p>
            <w:pPr>
              <w:spacing w:before="40" w:after="40"/>
            </w:pPr>
            <w:r/>
            <w:r>
              <w:rPr>
                <w:rFonts w:ascii="Calibri" w:hAnsi="Calibri"/>
                <w:b w:val="0"/>
                <w:color w:val="14171C"/>
                <w:sz w:val="15"/>
              </w:rPr>
              <w:t>a single self-contained Solidity contract with its own state machine</w:t>
            </w:r>
          </w:p>
        </w:tc>
        <w:tc>
          <w:tcPr>
            <w:tcW w:type="dxa" w:w="2488"/>
          </w:tcPr>
          <w:p>
            <w:pPr>
              <w:spacing w:before="40" w:after="40"/>
            </w:pPr>
            <w:r/>
            <w:r>
              <w:rPr>
                <w:rFonts w:ascii="Calibri" w:hAnsi="Calibri"/>
                <w:b w:val="0"/>
                <w:color w:val="14171C"/>
                <w:sz w:val="15"/>
              </w:rPr>
              <w:t>`contracts/MicroLendPool.sol`, 707 lines, zero imports</w:t>
            </w:r>
          </w:p>
        </w:tc>
      </w:tr>
      <w:tr>
        <w:tc>
          <w:tcPr>
            <w:tcW w:type="dxa" w:w="2488"/>
            <w:shd w:val="clear" w:color="auto" w:fill="F7F9FA"/>
          </w:tcPr>
          <w:p>
            <w:pPr>
              <w:spacing w:before="40" w:after="40"/>
            </w:pPr>
            <w:r/>
            <w:r>
              <w:rPr>
                <w:rFonts w:ascii="Calibri" w:hAnsi="Calibri"/>
                <w:b w:val="0"/>
                <w:color w:val="14171C"/>
                <w:sz w:val="15"/>
              </w:rPr>
              <w:t>O2</w:t>
            </w:r>
          </w:p>
        </w:tc>
        <w:tc>
          <w:tcPr>
            <w:tcW w:type="dxa" w:w="2488"/>
            <w:shd w:val="clear" w:color="auto" w:fill="F7F9FA"/>
          </w:tcPr>
          <w:p>
            <w:pPr>
              <w:spacing w:before="40" w:after="40"/>
            </w:pPr>
            <w:r/>
            <w:r>
              <w:rPr>
                <w:rFonts w:ascii="Calibri" w:hAnsi="Calibri"/>
                <w:b w:val="0"/>
                <w:color w:val="14171C"/>
                <w:sz w:val="15"/>
              </w:rPr>
              <w:t>Price credit deterministically without an oracle</w:t>
            </w:r>
          </w:p>
        </w:tc>
        <w:tc>
          <w:tcPr>
            <w:tcW w:type="dxa" w:w="2488"/>
            <w:shd w:val="clear" w:color="auto" w:fill="F7F9FA"/>
          </w:tcPr>
          <w:p>
            <w:pPr>
              <w:spacing w:before="40" w:after="40"/>
            </w:pPr>
            <w:r/>
            <w:r>
              <w:rPr>
                <w:rFonts w:ascii="Calibri" w:hAnsi="Calibri"/>
                <w:b w:val="0"/>
                <w:color w:val="14171C"/>
                <w:sz w:val="15"/>
              </w:rPr>
              <w:t>interest, fee and liquidation arithmetic reproducible to the wei</w:t>
            </w:r>
          </w:p>
        </w:tc>
        <w:tc>
          <w:tcPr>
            <w:tcW w:type="dxa" w:w="2488"/>
            <w:shd w:val="clear" w:color="auto" w:fill="F7F9FA"/>
          </w:tcPr>
          <w:p>
            <w:pPr>
              <w:spacing w:before="40" w:after="40"/>
            </w:pPr>
            <w:r/>
            <w:r>
              <w:rPr>
                <w:rFonts w:ascii="Calibri" w:hAnsi="Calibri"/>
                <w:b w:val="0"/>
                <w:color w:val="14171C"/>
                <w:sz w:val="15"/>
              </w:rPr>
              <w:t>811/811 contract assertions on an in-process EVM</w:t>
            </w:r>
          </w:p>
        </w:tc>
      </w:tr>
      <w:tr>
        <w:tc>
          <w:tcPr>
            <w:tcW w:type="dxa" w:w="2488"/>
          </w:tcPr>
          <w:p>
            <w:pPr>
              <w:spacing w:before="40" w:after="40"/>
            </w:pPr>
            <w:r/>
            <w:r>
              <w:rPr>
                <w:rFonts w:ascii="Calibri" w:hAnsi="Calibri"/>
                <w:b w:val="0"/>
                <w:color w:val="14171C"/>
                <w:sz w:val="15"/>
              </w:rPr>
              <w:t>O3</w:t>
            </w:r>
          </w:p>
        </w:tc>
        <w:tc>
          <w:tcPr>
            <w:tcW w:type="dxa" w:w="2488"/>
          </w:tcPr>
          <w:p>
            <w:pPr>
              <w:spacing w:before="40" w:after="40"/>
            </w:pPr>
            <w:r/>
            <w:r>
              <w:rPr>
                <w:rFonts w:ascii="Calibri" w:hAnsi="Calibri"/>
                <w:b w:val="0"/>
                <w:color w:val="14171C"/>
                <w:sz w:val="15"/>
              </w:rPr>
              <w:t>Make every fund movement auditable by a supplier</w:t>
            </w:r>
          </w:p>
        </w:tc>
        <w:tc>
          <w:tcPr>
            <w:tcW w:type="dxa" w:w="2488"/>
          </w:tcPr>
          <w:p>
            <w:pPr>
              <w:spacing w:before="40" w:after="40"/>
            </w:pPr>
            <w:r/>
            <w:r>
              <w:rPr>
                <w:rFonts w:ascii="Calibri" w:hAnsi="Calibri"/>
                <w:b w:val="0"/>
                <w:color w:val="14171C"/>
                <w:sz w:val="15"/>
              </w:rPr>
              <w:t>a money invariant asserted after every scenario</w:t>
            </w:r>
          </w:p>
        </w:tc>
        <w:tc>
          <w:tcPr>
            <w:tcW w:type="dxa" w:w="2488"/>
          </w:tcPr>
          <w:p>
            <w:pPr>
              <w:spacing w:before="40" w:after="40"/>
            </w:pPr>
            <w:r/>
            <w:r>
              <w:rPr>
                <w:rFonts w:ascii="Calibri" w:hAnsi="Calibri"/>
                <w:b w:val="0"/>
                <w:color w:val="14171C"/>
                <w:sz w:val="15"/>
              </w:rPr>
              <w:t>`cash == (totalLiquidity - reserved) + collateral + fees`, 0 wei drift in 14 scenarios</w:t>
            </w:r>
          </w:p>
        </w:tc>
      </w:tr>
      <w:tr>
        <w:tc>
          <w:tcPr>
            <w:tcW w:type="dxa" w:w="2488"/>
            <w:shd w:val="clear" w:color="auto" w:fill="F7F9FA"/>
          </w:tcPr>
          <w:p>
            <w:pPr>
              <w:spacing w:before="40" w:after="40"/>
            </w:pPr>
            <w:r/>
            <w:r>
              <w:rPr>
                <w:rFonts w:ascii="Calibri" w:hAnsi="Calibri"/>
                <w:b w:val="0"/>
                <w:color w:val="14171C"/>
                <w:sz w:val="15"/>
              </w:rPr>
              <w:t>O4</w:t>
            </w:r>
          </w:p>
        </w:tc>
        <w:tc>
          <w:tcPr>
            <w:tcW w:type="dxa" w:w="2488"/>
            <w:shd w:val="clear" w:color="auto" w:fill="F7F9FA"/>
          </w:tcPr>
          <w:p>
            <w:pPr>
              <w:spacing w:before="40" w:after="40"/>
            </w:pPr>
            <w:r/>
            <w:r>
              <w:rPr>
                <w:rFonts w:ascii="Calibri" w:hAnsi="Calibri"/>
                <w:b w:val="0"/>
                <w:color w:val="14171C"/>
                <w:sz w:val="15"/>
              </w:rPr>
              <w:t>Integrate an unmodified browser wallet</w:t>
            </w:r>
          </w:p>
        </w:tc>
        <w:tc>
          <w:tcPr>
            <w:tcW w:type="dxa" w:w="2488"/>
            <w:shd w:val="clear" w:color="auto" w:fill="F7F9FA"/>
          </w:tcPr>
          <w:p>
            <w:pPr>
              <w:spacing w:before="40" w:after="40"/>
            </w:pPr>
            <w:r/>
            <w:r>
              <w:rPr>
                <w:rFonts w:ascii="Calibri" w:hAnsi="Calibri"/>
                <w:b w:val="0"/>
                <w:color w:val="14171C"/>
                <w:sz w:val="15"/>
              </w:rPr>
              <w:t>connect, network switch, signature login, tx signing</w:t>
            </w:r>
          </w:p>
        </w:tc>
        <w:tc>
          <w:tcPr>
            <w:tcW w:type="dxa" w:w="2488"/>
            <w:shd w:val="clear" w:color="auto" w:fill="F7F9FA"/>
          </w:tcPr>
          <w:p>
            <w:pPr>
              <w:spacing w:before="40" w:after="40"/>
            </w:pPr>
            <w:r/>
            <w:r>
              <w:rPr>
                <w:rFonts w:ascii="Calibri" w:hAnsi="Calibri"/>
                <w:b w:val="0"/>
                <w:color w:val="14171C"/>
                <w:sz w:val="15"/>
              </w:rPr>
              <w:t>MetaMask RPC surface exercised in demo and chain mode</w:t>
            </w:r>
          </w:p>
        </w:tc>
      </w:tr>
      <w:tr>
        <w:tc>
          <w:tcPr>
            <w:tcW w:type="dxa" w:w="2488"/>
          </w:tcPr>
          <w:p>
            <w:pPr>
              <w:spacing w:before="40" w:after="40"/>
            </w:pPr>
            <w:r/>
            <w:r>
              <w:rPr>
                <w:rFonts w:ascii="Calibri" w:hAnsi="Calibri"/>
                <w:b w:val="0"/>
                <w:color w:val="14171C"/>
                <w:sz w:val="15"/>
              </w:rPr>
              <w:t>O5</w:t>
            </w:r>
          </w:p>
        </w:tc>
        <w:tc>
          <w:tcPr>
            <w:tcW w:type="dxa" w:w="2488"/>
          </w:tcPr>
          <w:p>
            <w:pPr>
              <w:spacing w:before="40" w:after="40"/>
            </w:pPr>
            <w:r/>
            <w:r>
              <w:rPr>
                <w:rFonts w:ascii="Calibri" w:hAnsi="Calibri"/>
                <w:b w:val="0"/>
                <w:color w:val="14171C"/>
                <w:sz w:val="15"/>
              </w:rPr>
              <w:t>Show that off-chain code agrees with the chain</w:t>
            </w:r>
          </w:p>
        </w:tc>
        <w:tc>
          <w:tcPr>
            <w:tcW w:type="dxa" w:w="2488"/>
          </w:tcPr>
          <w:p>
            <w:pPr>
              <w:spacing w:before="40" w:after="40"/>
            </w:pPr>
            <w:r/>
            <w:r>
              <w:rPr>
                <w:rFonts w:ascii="Calibri" w:hAnsi="Calibri"/>
                <w:b w:val="0"/>
                <w:color w:val="14171C"/>
                <w:sz w:val="15"/>
              </w:rPr>
              <w:t>three-way ABI and quote parity</w:t>
            </w:r>
          </w:p>
        </w:tc>
        <w:tc>
          <w:tcPr>
            <w:tcW w:type="dxa" w:w="2488"/>
          </w:tcPr>
          <w:p>
            <w:pPr>
              <w:spacing w:before="40" w:after="40"/>
            </w:pPr>
            <w:r/>
            <w:r>
              <w:rPr>
                <w:rFonts w:ascii="Calibri" w:hAnsi="Calibri"/>
                <w:b w:val="0"/>
                <w:color w:val="14171C"/>
                <w:sz w:val="15"/>
              </w:rPr>
              <w:t>contract / backend / frontend = 102 / 102 / 102 entries, 0 differences</w:t>
            </w:r>
          </w:p>
        </w:tc>
      </w:tr>
      <w:tr>
        <w:tc>
          <w:tcPr>
            <w:tcW w:type="dxa" w:w="2488"/>
            <w:shd w:val="clear" w:color="auto" w:fill="F7F9FA"/>
          </w:tcPr>
          <w:p>
            <w:pPr>
              <w:spacing w:before="40" w:after="40"/>
            </w:pPr>
            <w:r/>
            <w:r>
              <w:rPr>
                <w:rFonts w:ascii="Calibri" w:hAnsi="Calibri"/>
                <w:b w:val="0"/>
                <w:color w:val="14171C"/>
                <w:sz w:val="15"/>
              </w:rPr>
              <w:t>O6</w:t>
            </w:r>
          </w:p>
        </w:tc>
        <w:tc>
          <w:tcPr>
            <w:tcW w:type="dxa" w:w="2488"/>
            <w:shd w:val="clear" w:color="auto" w:fill="F7F9FA"/>
          </w:tcPr>
          <w:p>
            <w:pPr>
              <w:spacing w:before="40" w:after="40"/>
            </w:pPr>
            <w:r/>
            <w:r>
              <w:rPr>
                <w:rFonts w:ascii="Calibri" w:hAnsi="Calibri"/>
                <w:b w:val="0"/>
                <w:color w:val="14171C"/>
                <w:sz w:val="15"/>
              </w:rPr>
              <w:t>Be usable and gradeable without testnet funds</w:t>
            </w:r>
          </w:p>
        </w:tc>
        <w:tc>
          <w:tcPr>
            <w:tcW w:type="dxa" w:w="2488"/>
            <w:shd w:val="clear" w:color="auto" w:fill="F7F9FA"/>
          </w:tcPr>
          <w:p>
            <w:pPr>
              <w:spacing w:before="40" w:after="40"/>
            </w:pPr>
            <w:r/>
            <w:r>
              <w:rPr>
                <w:rFonts w:ascii="Calibri" w:hAnsi="Calibri"/>
                <w:b w:val="0"/>
                <w:color w:val="14171C"/>
                <w:sz w:val="15"/>
              </w:rPr>
              <w:t>an offline demo that mirrors the contract exactly</w:t>
            </w:r>
          </w:p>
        </w:tc>
        <w:tc>
          <w:tcPr>
            <w:tcW w:type="dxa" w:w="2488"/>
            <w:shd w:val="clear" w:color="auto" w:fill="F7F9FA"/>
          </w:tcPr>
          <w:p>
            <w:pPr>
              <w:spacing w:before="40" w:after="40"/>
            </w:pPr>
            <w:r/>
            <w:r>
              <w:rPr>
                <w:rFonts w:ascii="Calibri" w:hAnsi="Calibri"/>
                <w:b w:val="0"/>
                <w:color w:val="14171C"/>
                <w:sz w:val="15"/>
              </w:rPr>
              <w:t>`frontend/js/demo.js`; four named vectors match the chain bit-for-bit</w:t>
            </w:r>
          </w:p>
        </w:tc>
      </w:tr>
    </w:tbl>
    <w:p>
      <w:pPr>
        <w:spacing w:after="80"/>
      </w:pPr>
    </w:p>
    <w:p>
      <w:pPr>
        <w:pStyle w:val="Heading2"/>
      </w:pPr>
      <w:r>
        <w:t>4. System Architecture</w:t>
      </w:r>
    </w:p>
    <w:p>
      <w:r>
        <w:rPr>
          <w:rFonts w:ascii="Calibri" w:hAnsi="Calibri"/>
          <w:color w:val="14171C"/>
          <w:sz w:val="21"/>
        </w:rPr>
        <w:t>Four replaceable layers. The chain holds the only authoritative state; everything else is a derived view.</w:t>
      </w:r>
    </w:p>
    <w:tbl>
      <w:tblPr>
        <w:tblW w:type="auto" w:w="0"/>
        <w:jc w:val="center"/>
        <w:tblLook w:firstColumn="1" w:firstRow="1" w:lastColumn="0" w:lastRow="0" w:noHBand="0" w:noVBand="1" w:val="04A0"/>
      </w:tblPr>
      <w:tblGrid>
        <w:gridCol w:w="9951"/>
      </w:tblGrid>
      <w:tr>
        <w:tc>
          <w:tcPr>
            <w:tcW w:type="dxa" w:w="9951"/>
            <w:shd w:val="clear" w:color="auto" w:fill="F4F6F8"/>
          </w:tcPr>
          <w:p>
            <w:pPr>
              <w:spacing w:before="0" w:after="0" w:line="240" w:lineRule="auto"/>
            </w:pPr>
            <w:r/>
            <w:r>
              <w:rPr>
                <w:rFonts w:ascii="Consolas" w:hAnsi="Consolas"/>
                <w:color w:val="14171C"/>
                <w:sz w:val="14"/>
              </w:rPr>
              <w:t xml:space="preserve">        browser (MetaMask)                 Flask indexer                 Ethereum</w:t>
            </w:r>
          </w:p>
          <w:p>
            <w:pPr>
              <w:spacing w:before="0" w:after="0" w:line="240" w:lineRule="auto"/>
            </w:pPr>
            <w:r>
              <w:rPr>
                <w:rFonts w:ascii="Consolas" w:hAnsi="Consolas"/>
                <w:color w:val="14171C"/>
                <w:sz w:val="14"/>
              </w:rPr>
              <w:t xml:space="preserve">  ┌───────────────────────────┐   ┌───────────────────────────┐   ┌──────────────────┐</w:t>
            </w:r>
          </w:p>
          <w:p>
            <w:pPr>
              <w:spacing w:before="0" w:after="0" w:line="240" w:lineRule="auto"/>
            </w:pPr>
            <w:r>
              <w:rPr>
                <w:rFonts w:ascii="Consolas" w:hAnsi="Consolas"/>
                <w:color w:val="14171C"/>
                <w:sz w:val="14"/>
              </w:rPr>
              <w:t xml:space="preserve">  │ frontend/js/*             │   │ POST /api/auth/* (nonce)  │   │  MicroLendPool   │</w:t>
            </w:r>
          </w:p>
          <w:p>
            <w:pPr>
              <w:spacing w:before="0" w:after="0" w:line="240" w:lineRule="auto"/>
            </w:pPr>
            <w:r>
              <w:rPr>
                <w:rFonts w:ascii="Consolas" w:hAnsi="Consolas"/>
                <w:color w:val="14171C"/>
                <w:sz w:val="14"/>
              </w:rPr>
              <w:t xml:space="preserve">  │  wallet · api · contract  │──▶│ bearer token (HMAC)       │   │  shares · loans  │</w:t>
            </w:r>
          </w:p>
          <w:p>
            <w:pPr>
              <w:spacing w:before="0" w:after="0" w:line="240" w:lineRule="auto"/>
            </w:pPr>
            <w:r>
              <w:rPr>
                <w:rFonts w:ascii="Consolas" w:hAnsi="Consolas"/>
                <w:color w:val="14171C"/>
                <w:sz w:val="14"/>
              </w:rPr>
              <w:t xml:space="preserve">  │  demo.js  (offline mirror)│   │ SQLite index (derived)    │◀──│  collateral      │</w:t>
            </w:r>
          </w:p>
          <w:p>
            <w:pPr>
              <w:spacing w:before="0" w:after="0" w:line="240" w:lineRule="auto"/>
            </w:pPr>
            <w:r>
              <w:rPr>
                <w:rFonts w:ascii="Consolas" w:hAnsi="Consolas"/>
                <w:color w:val="14171C"/>
                <w:sz w:val="14"/>
              </w:rPr>
              <w:t xml:space="preserve">  └───────────────────────────┘   └───────────────────────────┘   └──────────────────┘</w:t>
            </w:r>
          </w:p>
          <w:p>
            <w:pPr>
              <w:spacing w:before="0" w:after="0" w:line="240" w:lineRule="auto"/>
            </w:pPr>
            <w:r>
              <w:rPr>
                <w:rFonts w:ascii="Consolas" w:hAnsi="Consolas"/>
                <w:color w:val="14171C"/>
                <w:sz w:val="14"/>
              </w:rPr>
              <w:t xml:space="preserve">        signs with the wallet          verifies the receipt            source of truth</w:t>
            </w:r>
          </w:p>
        </w:tc>
      </w:tr>
    </w:tbl>
    <w:p>
      <w:pPr>
        <w:spacing w:after="80"/>
      </w:pPr>
    </w:p>
    <w:p>
      <w:r>
        <w:rPr>
          <w:rFonts w:ascii="Calibri" w:hAnsi="Calibri"/>
          <w:b/>
          <w:color w:val="14171C"/>
          <w:sz w:val="21"/>
        </w:rPr>
        <w:t>Trust boundary.</w:t>
      </w:r>
      <w:r>
        <w:rPr>
          <w:rFonts w:ascii="Calibri" w:hAnsi="Calibri"/>
          <w:color w:val="14171C"/>
          <w:sz w:val="21"/>
        </w:rPr>
        <w:t xml:space="preserve"> The backend never receives a private key. A wallet signs a single-use nonce; the service recovers the signer, issues a bearer token, and refuses any write whose transaction sender differs from the authenticated address. Each indexed write re-reads the receipt from the chain and requires </w:t>
      </w:r>
      <w:r>
        <w:rPr>
          <w:rFonts w:ascii="Consolas" w:hAnsi="Consolas"/>
          <w:color w:val="0B5F53"/>
          <w:sz w:val="19"/>
        </w:rPr>
        <w:t>status == 1</w:t>
      </w:r>
      <w:r>
        <w:rPr>
          <w:rFonts w:ascii="Calibri" w:hAnsi="Calibri"/>
          <w:color w:val="14171C"/>
          <w:sz w:val="21"/>
        </w:rPr>
        <w:t xml:space="preserve"> before decoding the event it claims to represent. Deleting the SQLite file loses nothing that cannot be re-derived from logs, which is the property that makes the index a cache rather than a source of truth.</w:t>
      </w:r>
    </w:p>
    <w:p>
      <w:r>
        <w:rPr>
          <w:rFonts w:ascii="Calibri" w:hAnsi="Calibri"/>
          <w:b/>
          <w:color w:val="14171C"/>
          <w:sz w:val="21"/>
        </w:rPr>
        <w:t>Client.</w:t>
      </w:r>
      <w:r>
        <w:rPr>
          <w:rFonts w:ascii="Calibri" w:hAnsi="Calibri"/>
          <w:color w:val="14171C"/>
          <w:sz w:val="21"/>
        </w:rPr>
        <w:t xml:space="preserve"> Plain HTML/CSS/JS with </w:t>
      </w:r>
      <w:r>
        <w:rPr>
          <w:rFonts w:ascii="Consolas" w:hAnsi="Consolas"/>
          <w:color w:val="0B5F53"/>
          <w:sz w:val="19"/>
        </w:rPr>
        <w:t>window.ML_*</w:t>
      </w:r>
      <w:r>
        <w:rPr>
          <w:rFonts w:ascii="Calibri" w:hAnsi="Calibri"/>
          <w:color w:val="14171C"/>
          <w:sz w:val="21"/>
        </w:rPr>
        <w:t xml:space="preserve"> globals and no build step, so the submission runs by opening a file. Demo mode (</w:t>
      </w:r>
      <w:r>
        <w:rPr>
          <w:rFonts w:ascii="Consolas" w:hAnsi="Consolas"/>
          <w:color w:val="0B5F53"/>
          <w:sz w:val="19"/>
        </w:rPr>
        <w:t>frontend/js/demo.js</w:t>
      </w:r>
      <w:r>
        <w:rPr>
          <w:rFonts w:ascii="Calibri" w:hAnsi="Calibri"/>
          <w:color w:val="14171C"/>
          <w:sz w:val="21"/>
        </w:rPr>
        <w:t xml:space="preserve">) re-implements the contract state machine in the browser against a </w:t>
      </w:r>
      <w:r>
        <w:rPr>
          <w:rFonts w:ascii="Consolas" w:hAnsi="Consolas"/>
          <w:color w:val="0B5F53"/>
          <w:sz w:val="19"/>
        </w:rPr>
        <w:t>localStorage</w:t>
      </w:r>
      <w:r>
        <w:rPr>
          <w:rFonts w:ascii="Calibri" w:hAnsi="Calibri"/>
          <w:color w:val="14171C"/>
          <w:sz w:val="21"/>
        </w:rPr>
        <w:t xml:space="preserve"> ledger and is badged as such, so the DApp is fully usable without a wallet while chain mode remains the real thing.</w:t>
      </w:r>
    </w:p>
    <w:p>
      <w:pPr>
        <w:pStyle w:val="Heading2"/>
      </w:pPr>
      <w:r>
        <w:t>5. Technologies Used</w:t>
      </w:r>
    </w:p>
    <w:tbl>
      <w:tblPr>
        <w:tblStyle w:val="TableGrid"/>
        <w:tblW w:type="auto" w:w="0"/>
        <w:jc w:val="center"/>
        <w:tblLook w:firstColumn="1" w:firstRow="1" w:lastColumn="0" w:lastRow="0" w:noHBand="0" w:noVBand="1" w:val="04A0"/>
      </w:tblPr>
      <w:tblGrid>
        <w:gridCol w:w="3317"/>
        <w:gridCol w:w="3317"/>
        <w:gridCol w:w="3317"/>
      </w:tblGrid>
      <w:tr>
        <w:tc>
          <w:tcPr>
            <w:tcW w:type="dxa" w:w="3317"/>
            <w:shd w:val="clear" w:color="auto" w:fill="E8F1EF"/>
          </w:tcPr>
          <w:p>
            <w:pPr>
              <w:spacing w:before="40" w:after="40"/>
            </w:pPr>
            <w:r/>
            <w:r>
              <w:rPr>
                <w:rFonts w:ascii="Calibri" w:hAnsi="Calibri"/>
                <w:b/>
                <w:color w:val="14171C"/>
                <w:sz w:val="15"/>
              </w:rPr>
              <w:t>Technology</w:t>
            </w:r>
          </w:p>
        </w:tc>
        <w:tc>
          <w:tcPr>
            <w:tcW w:type="dxa" w:w="3317"/>
            <w:shd w:val="clear" w:color="auto" w:fill="E8F1EF"/>
          </w:tcPr>
          <w:p>
            <w:pPr>
              <w:spacing w:before="40" w:after="40"/>
            </w:pPr>
            <w:r/>
            <w:r>
              <w:rPr>
                <w:rFonts w:ascii="Calibri" w:hAnsi="Calibri"/>
                <w:b/>
                <w:color w:val="14171C"/>
                <w:sz w:val="15"/>
              </w:rPr>
              <w:t>Version / detail</w:t>
            </w:r>
          </w:p>
        </w:tc>
        <w:tc>
          <w:tcPr>
            <w:tcW w:type="dxa" w:w="3317"/>
            <w:shd w:val="clear" w:color="auto" w:fill="E8F1EF"/>
          </w:tcPr>
          <w:p>
            <w:pPr>
              <w:spacing w:before="40" w:after="40"/>
            </w:pPr>
            <w:r/>
            <w:r>
              <w:rPr>
                <w:rFonts w:ascii="Calibri" w:hAnsi="Calibri"/>
                <w:b/>
                <w:color w:val="14171C"/>
                <w:sz w:val="15"/>
              </w:rPr>
              <w:t>Role and justification</w:t>
            </w:r>
          </w:p>
        </w:tc>
      </w:tr>
      <w:tr>
        <w:tc>
          <w:tcPr>
            <w:tcW w:type="dxa" w:w="3317"/>
          </w:tcPr>
          <w:p>
            <w:pPr>
              <w:spacing w:before="40" w:after="40"/>
            </w:pPr>
            <w:r/>
            <w:r>
              <w:rPr>
                <w:rFonts w:ascii="Calibri" w:hAnsi="Calibri"/>
                <w:b w:val="0"/>
                <w:color w:val="14171C"/>
                <w:sz w:val="15"/>
              </w:rPr>
              <w:t>Solidity</w:t>
            </w:r>
          </w:p>
        </w:tc>
        <w:tc>
          <w:tcPr>
            <w:tcW w:type="dxa" w:w="3317"/>
          </w:tcPr>
          <w:p>
            <w:pPr>
              <w:spacing w:before="40" w:after="40"/>
            </w:pPr>
            <w:r/>
            <w:r>
              <w:rPr>
                <w:rFonts w:ascii="Calibri" w:hAnsi="Calibri"/>
                <w:b w:val="0"/>
                <w:color w:val="14171C"/>
                <w:sz w:val="15"/>
              </w:rPr>
              <w:t>`^0.8.24` (compiled with 0.8.24)</w:t>
            </w:r>
          </w:p>
        </w:tc>
        <w:tc>
          <w:tcPr>
            <w:tcW w:type="dxa" w:w="3317"/>
          </w:tcPr>
          <w:p>
            <w:pPr>
              <w:spacing w:before="40" w:after="40"/>
            </w:pPr>
            <w:r/>
            <w:r>
              <w:rPr>
                <w:rFonts w:ascii="Calibri" w:hAnsi="Calibri"/>
                <w:b w:val="0"/>
                <w:color w:val="14171C"/>
                <w:sz w:val="15"/>
              </w:rPr>
              <w:t>checked arithmetic by default, custom errors, one self-contained file</w:t>
            </w:r>
          </w:p>
        </w:tc>
      </w:tr>
      <w:tr>
        <w:tc>
          <w:tcPr>
            <w:tcW w:type="dxa" w:w="3317"/>
            <w:shd w:val="clear" w:color="auto" w:fill="F7F9FA"/>
          </w:tcPr>
          <w:p>
            <w:pPr>
              <w:spacing w:before="40" w:after="40"/>
            </w:pPr>
            <w:r/>
            <w:r>
              <w:rPr>
                <w:rFonts w:ascii="Calibri" w:hAnsi="Calibri"/>
                <w:b w:val="0"/>
                <w:color w:val="14171C"/>
                <w:sz w:val="15"/>
              </w:rPr>
              <w:t>solc-js</w:t>
            </w:r>
          </w:p>
        </w:tc>
        <w:tc>
          <w:tcPr>
            <w:tcW w:type="dxa" w:w="3317"/>
            <w:shd w:val="clear" w:color="auto" w:fill="F7F9FA"/>
          </w:tcPr>
          <w:p>
            <w:pPr>
              <w:spacing w:before="40" w:after="40"/>
            </w:pPr>
            <w:r/>
            <w:r>
              <w:rPr>
                <w:rFonts w:ascii="Calibri" w:hAnsi="Calibri"/>
                <w:b w:val="0"/>
                <w:color w:val="14171C"/>
                <w:sz w:val="15"/>
              </w:rPr>
              <w:t>`0.8.24+commit.e11b9ed9`, optimiser `runs: 200`, `evmVersion: shanghai`</w:t>
            </w:r>
          </w:p>
        </w:tc>
        <w:tc>
          <w:tcPr>
            <w:tcW w:type="dxa" w:w="3317"/>
            <w:shd w:val="clear" w:color="auto" w:fill="F7F9FA"/>
          </w:tcPr>
          <w:p>
            <w:pPr>
              <w:spacing w:before="40" w:after="40"/>
            </w:pPr>
            <w:r/>
            <w:r>
              <w:rPr>
                <w:rFonts w:ascii="Calibri" w:hAnsi="Calibri"/>
                <w:b w:val="0"/>
                <w:color w:val="14171C"/>
                <w:sz w:val="15"/>
              </w:rPr>
              <w:t>compiles without a native toolchain; `shanghai` is deployable on Sepolia</w:t>
            </w:r>
          </w:p>
        </w:tc>
      </w:tr>
      <w:tr>
        <w:tc>
          <w:tcPr>
            <w:tcW w:type="dxa" w:w="3317"/>
          </w:tcPr>
          <w:p>
            <w:pPr>
              <w:spacing w:before="40" w:after="40"/>
            </w:pPr>
            <w:r/>
            <w:r>
              <w:rPr>
                <w:rFonts w:ascii="Calibri" w:hAnsi="Calibri"/>
                <w:b w:val="0"/>
                <w:color w:val="14171C"/>
                <w:sz w:val="15"/>
              </w:rPr>
              <w:t>Ethereum Sepolia</w:t>
            </w:r>
          </w:p>
        </w:tc>
        <w:tc>
          <w:tcPr>
            <w:tcW w:type="dxa" w:w="3317"/>
          </w:tcPr>
          <w:p>
            <w:pPr>
              <w:spacing w:before="40" w:after="40"/>
            </w:pPr>
            <w:r/>
            <w:r>
              <w:rPr>
                <w:rFonts w:ascii="Calibri" w:hAnsi="Calibri"/>
                <w:b w:val="0"/>
                <w:color w:val="14171C"/>
                <w:sz w:val="15"/>
              </w:rPr>
              <w:t>`chainId 11155111`</w:t>
            </w:r>
          </w:p>
        </w:tc>
        <w:tc>
          <w:tcPr>
            <w:tcW w:type="dxa" w:w="3317"/>
          </w:tcPr>
          <w:p>
            <w:pPr>
              <w:spacing w:before="40" w:after="40"/>
            </w:pPr>
            <w:r/>
            <w:r>
              <w:rPr>
                <w:rFonts w:ascii="Calibri" w:hAnsi="Calibri"/>
                <w:b w:val="0"/>
                <w:color w:val="14171C"/>
                <w:sz w:val="15"/>
              </w:rPr>
              <w:t>assignment requirement; testnet removes real-money risk</w:t>
            </w:r>
          </w:p>
        </w:tc>
      </w:tr>
      <w:tr>
        <w:tc>
          <w:tcPr>
            <w:tcW w:type="dxa" w:w="3317"/>
            <w:shd w:val="clear" w:color="auto" w:fill="F7F9FA"/>
          </w:tcPr>
          <w:p>
            <w:pPr>
              <w:spacing w:before="40" w:after="40"/>
            </w:pPr>
            <w:r/>
            <w:r>
              <w:rPr>
                <w:rFonts w:ascii="Calibri" w:hAnsi="Calibri"/>
                <w:b w:val="0"/>
                <w:color w:val="14171C"/>
                <w:sz w:val="15"/>
              </w:rPr>
              <w:t>ethers.js</w:t>
            </w:r>
          </w:p>
        </w:tc>
        <w:tc>
          <w:tcPr>
            <w:tcW w:type="dxa" w:w="3317"/>
            <w:shd w:val="clear" w:color="auto" w:fill="F7F9FA"/>
          </w:tcPr>
          <w:p>
            <w:pPr>
              <w:spacing w:before="40" w:after="40"/>
            </w:pPr>
            <w:r/>
            <w:r>
              <w:rPr>
                <w:rFonts w:ascii="Calibri" w:hAnsi="Calibri"/>
                <w:b w:val="0"/>
                <w:color w:val="14171C"/>
                <w:sz w:val="15"/>
              </w:rPr>
              <w:t>v6.17.0 (vendored for the browser, `.tooling/nm` for tests)</w:t>
            </w:r>
          </w:p>
        </w:tc>
        <w:tc>
          <w:tcPr>
            <w:tcW w:type="dxa" w:w="3317"/>
            <w:shd w:val="clear" w:color="auto" w:fill="F7F9FA"/>
          </w:tcPr>
          <w:p>
            <w:pPr>
              <w:spacing w:before="40" w:after="40"/>
            </w:pPr>
            <w:r/>
            <w:r>
              <w:rPr>
                <w:rFonts w:ascii="Calibri" w:hAnsi="Calibri"/>
                <w:b w:val="0"/>
                <w:color w:val="14171C"/>
                <w:sz w:val="15"/>
              </w:rPr>
              <w:t>transaction building, ABI encoding, event decoding</w:t>
            </w:r>
          </w:p>
        </w:tc>
      </w:tr>
      <w:tr>
        <w:tc>
          <w:tcPr>
            <w:tcW w:type="dxa" w:w="3317"/>
          </w:tcPr>
          <w:p>
            <w:pPr>
              <w:spacing w:before="40" w:after="40"/>
            </w:pPr>
            <w:r/>
            <w:r>
              <w:rPr>
                <w:rFonts w:ascii="Calibri" w:hAnsi="Calibri"/>
                <w:b w:val="0"/>
                <w:color w:val="14171C"/>
                <w:sz w:val="15"/>
              </w:rPr>
              <w:t>ganache</w:t>
            </w:r>
          </w:p>
        </w:tc>
        <w:tc>
          <w:tcPr>
            <w:tcW w:type="dxa" w:w="3317"/>
          </w:tcPr>
          <w:p>
            <w:pPr>
              <w:spacing w:before="40" w:after="40"/>
            </w:pPr>
            <w:r/>
            <w:r>
              <w:rPr>
                <w:rFonts w:ascii="Calibri" w:hAnsi="Calibri"/>
                <w:b w:val="0"/>
                <w:color w:val="14171C"/>
                <w:sz w:val="15"/>
              </w:rPr>
              <w:t>7.9.2, in-process provider, `hardfork: shanghai`</w:t>
            </w:r>
          </w:p>
        </w:tc>
        <w:tc>
          <w:tcPr>
            <w:tcW w:type="dxa" w:w="3317"/>
          </w:tcPr>
          <w:p>
            <w:pPr>
              <w:spacing w:before="40" w:after="40"/>
            </w:pPr>
            <w:r/>
            <w:r>
              <w:rPr>
                <w:rFonts w:ascii="Calibri" w:hAnsi="Calibri"/>
                <w:b w:val="0"/>
                <w:color w:val="14171C"/>
                <w:sz w:val="15"/>
              </w:rPr>
              <w:t>deterministic EVM for tests: time travel (`evm_increaseTime`), snapshots, instant blocks</w:t>
            </w:r>
          </w:p>
        </w:tc>
      </w:tr>
      <w:tr>
        <w:tc>
          <w:tcPr>
            <w:tcW w:type="dxa" w:w="3317"/>
            <w:shd w:val="clear" w:color="auto" w:fill="F7F9FA"/>
          </w:tcPr>
          <w:p>
            <w:pPr>
              <w:spacing w:before="40" w:after="40"/>
            </w:pPr>
            <w:r/>
            <w:r>
              <w:rPr>
                <w:rFonts w:ascii="Calibri" w:hAnsi="Calibri"/>
                <w:b w:val="0"/>
                <w:color w:val="14171C"/>
                <w:sz w:val="15"/>
              </w:rPr>
              <w:t>Flask</w:t>
            </w:r>
          </w:p>
        </w:tc>
        <w:tc>
          <w:tcPr>
            <w:tcW w:type="dxa" w:w="3317"/>
            <w:shd w:val="clear" w:color="auto" w:fill="F7F9FA"/>
          </w:tcPr>
          <w:p>
            <w:pPr>
              <w:spacing w:before="40" w:after="40"/>
            </w:pPr>
            <w:r/>
            <w:r>
              <w:rPr>
                <w:rFonts w:ascii="Calibri" w:hAnsi="Calibri"/>
                <w:b w:val="0"/>
                <w:color w:val="14171C"/>
                <w:sz w:val="15"/>
              </w:rPr>
              <w:t>Python 3.12 + Flask, JSON-only API</w:t>
            </w:r>
          </w:p>
        </w:tc>
        <w:tc>
          <w:tcPr>
            <w:tcW w:type="dxa" w:w="3317"/>
            <w:shd w:val="clear" w:color="auto" w:fill="F7F9FA"/>
          </w:tcPr>
          <w:p>
            <w:pPr>
              <w:spacing w:before="40" w:after="40"/>
            </w:pPr>
            <w:r/>
            <w:r>
              <w:rPr>
                <w:rFonts w:ascii="Calibri" w:hAnsi="Calibri"/>
                <w:b w:val="0"/>
                <w:color w:val="14171C"/>
                <w:sz w:val="15"/>
              </w:rPr>
              <w:t>assignment §III/§V; small enough to read in one sitting</w:t>
            </w:r>
          </w:p>
        </w:tc>
      </w:tr>
      <w:tr>
        <w:tc>
          <w:tcPr>
            <w:tcW w:type="dxa" w:w="3317"/>
          </w:tcPr>
          <w:p>
            <w:pPr>
              <w:spacing w:before="40" w:after="40"/>
            </w:pPr>
            <w:r/>
            <w:r>
              <w:rPr>
                <w:rFonts w:ascii="Calibri" w:hAnsi="Calibri"/>
                <w:b w:val="0"/>
                <w:color w:val="14171C"/>
                <w:sz w:val="15"/>
              </w:rPr>
              <w:t>SQLite</w:t>
            </w:r>
          </w:p>
        </w:tc>
        <w:tc>
          <w:tcPr>
            <w:tcW w:type="dxa" w:w="3317"/>
          </w:tcPr>
          <w:p>
            <w:pPr>
              <w:spacing w:before="40" w:after="40"/>
            </w:pPr>
            <w:r/>
            <w:r>
              <w:rPr>
                <w:rFonts w:ascii="Calibri" w:hAnsi="Calibri"/>
                <w:b w:val="0"/>
                <w:color w:val="14171C"/>
                <w:sz w:val="15"/>
              </w:rPr>
              <w:t>Python stdlib `sqlite3`</w:t>
            </w:r>
          </w:p>
        </w:tc>
        <w:tc>
          <w:tcPr>
            <w:tcW w:type="dxa" w:w="3317"/>
          </w:tcPr>
          <w:p>
            <w:pPr>
              <w:spacing w:before="40" w:after="40"/>
            </w:pPr>
            <w:r/>
            <w:r>
              <w:rPr>
                <w:rFonts w:ascii="Calibri" w:hAnsi="Calibri"/>
                <w:b w:val="0"/>
                <w:color w:val="14171C"/>
                <w:sz w:val="15"/>
              </w:rPr>
              <w:t>assignment §V optional database; zero-config, file-based, disposable</w:t>
            </w:r>
          </w:p>
        </w:tc>
      </w:tr>
      <w:tr>
        <w:tc>
          <w:tcPr>
            <w:tcW w:type="dxa" w:w="3317"/>
            <w:shd w:val="clear" w:color="auto" w:fill="F7F9FA"/>
          </w:tcPr>
          <w:p>
            <w:pPr>
              <w:spacing w:before="40" w:after="40"/>
            </w:pPr>
            <w:r/>
            <w:r>
              <w:rPr>
                <w:rFonts w:ascii="Calibri" w:hAnsi="Calibri"/>
                <w:b w:val="0"/>
                <w:color w:val="14171C"/>
                <w:sz w:val="15"/>
              </w:rPr>
              <w:t>Keccak-256 / secp256k1</w:t>
            </w:r>
          </w:p>
        </w:tc>
        <w:tc>
          <w:tcPr>
            <w:tcW w:type="dxa" w:w="3317"/>
            <w:shd w:val="clear" w:color="auto" w:fill="F7F9FA"/>
          </w:tcPr>
          <w:p>
            <w:pPr>
              <w:spacing w:before="40" w:after="40"/>
            </w:pPr>
            <w:r/>
            <w:r>
              <w:rPr>
                <w:rFonts w:ascii="Calibri" w:hAnsi="Calibri"/>
                <w:b w:val="0"/>
                <w:color w:val="14171C"/>
                <w:sz w:val="15"/>
              </w:rPr>
              <w:t>implemented in pure Python (`backend/keccak.py`, `backend/auth.py`)</w:t>
            </w:r>
          </w:p>
        </w:tc>
        <w:tc>
          <w:tcPr>
            <w:tcW w:type="dxa" w:w="3317"/>
            <w:shd w:val="clear" w:color="auto" w:fill="F7F9FA"/>
          </w:tcPr>
          <w:p>
            <w:pPr>
              <w:spacing w:before="40" w:after="40"/>
            </w:pPr>
            <w:r/>
            <w:r>
              <w:rPr>
                <w:rFonts w:ascii="Calibri" w:hAnsi="Calibri"/>
                <w:b w:val="0"/>
                <w:color w:val="14171C"/>
                <w:sz w:val="15"/>
              </w:rPr>
              <w:t>signature verification and event-topic derivation with **no native dependencies**, so the marker can run the backend anywhere</w:t>
            </w:r>
          </w:p>
        </w:tc>
      </w:tr>
      <w:tr>
        <w:tc>
          <w:tcPr>
            <w:tcW w:type="dxa" w:w="3317"/>
          </w:tcPr>
          <w:p>
            <w:pPr>
              <w:spacing w:before="40" w:after="40"/>
            </w:pPr>
            <w:r/>
            <w:r>
              <w:rPr>
                <w:rFonts w:ascii="Calibri" w:hAnsi="Calibri"/>
                <w:b w:val="0"/>
                <w:color w:val="14171C"/>
                <w:sz w:val="15"/>
              </w:rPr>
              <w:t>vanilla HTML/CSS/JS</w:t>
            </w:r>
          </w:p>
        </w:tc>
        <w:tc>
          <w:tcPr>
            <w:tcW w:type="dxa" w:w="3317"/>
          </w:tcPr>
          <w:p>
            <w:pPr>
              <w:spacing w:before="40" w:after="40"/>
            </w:pPr>
            <w:r/>
            <w:r>
              <w:rPr>
                <w:rFonts w:ascii="Calibri" w:hAnsi="Calibri"/>
                <w:b w:val="0"/>
                <w:color w:val="14171C"/>
                <w:sz w:val="15"/>
              </w:rPr>
              <w:t>no bundler, no framework</w:t>
            </w:r>
          </w:p>
        </w:tc>
        <w:tc>
          <w:tcPr>
            <w:tcW w:type="dxa" w:w="3317"/>
          </w:tcPr>
          <w:p>
            <w:pPr>
              <w:spacing w:before="40" w:after="40"/>
            </w:pPr>
            <w:r/>
            <w:r>
              <w:rPr>
                <w:rFonts w:ascii="Calibri" w:hAnsi="Calibri"/>
                <w:b w:val="0"/>
                <w:color w:val="14171C"/>
                <w:sz w:val="15"/>
              </w:rPr>
              <w:t>assignment §V; opens directly from the filesystem, nothing to install</w:t>
            </w:r>
          </w:p>
        </w:tc>
      </w:tr>
      <w:tr>
        <w:tc>
          <w:tcPr>
            <w:tcW w:type="dxa" w:w="3317"/>
            <w:shd w:val="clear" w:color="auto" w:fill="F7F9FA"/>
          </w:tcPr>
          <w:p>
            <w:pPr>
              <w:spacing w:before="40" w:after="40"/>
            </w:pPr>
            <w:r/>
            <w:r>
              <w:rPr>
                <w:rFonts w:ascii="Calibri" w:hAnsi="Calibri"/>
                <w:b w:val="0"/>
                <w:color w:val="14171C"/>
                <w:sz w:val="15"/>
              </w:rPr>
              <w:t>pytest</w:t>
            </w:r>
          </w:p>
        </w:tc>
        <w:tc>
          <w:tcPr>
            <w:tcW w:type="dxa" w:w="3317"/>
            <w:shd w:val="clear" w:color="auto" w:fill="F7F9FA"/>
          </w:tcPr>
          <w:p>
            <w:pPr>
              <w:spacing w:before="40" w:after="40"/>
            </w:pPr>
            <w:r/>
            <w:r>
              <w:rPr>
                <w:rFonts w:ascii="Calibri" w:hAnsi="Calibri"/>
                <w:b w:val="0"/>
                <w:color w:val="14171C"/>
                <w:sz w:val="15"/>
              </w:rPr>
              <w:t>bundled under `.tooling/pylibs`</w:t>
            </w:r>
          </w:p>
        </w:tc>
        <w:tc>
          <w:tcPr>
            <w:tcW w:type="dxa" w:w="3317"/>
            <w:shd w:val="clear" w:color="auto" w:fill="F7F9FA"/>
          </w:tcPr>
          <w:p>
            <w:pPr>
              <w:spacing w:before="40" w:after="40"/>
            </w:pPr>
            <w:r/>
            <w:r>
              <w:rPr>
                <w:rFonts w:ascii="Calibri" w:hAnsi="Calibri"/>
                <w:b w:val="0"/>
                <w:color w:val="14171C"/>
                <w:sz w:val="15"/>
              </w:rPr>
              <w:t>backend unit and API tests</w:t>
            </w:r>
          </w:p>
        </w:tc>
      </w:tr>
      <w:tr>
        <w:tc>
          <w:tcPr>
            <w:tcW w:type="dxa" w:w="3317"/>
          </w:tcPr>
          <w:p>
            <w:pPr>
              <w:spacing w:before="40" w:after="40"/>
            </w:pPr>
            <w:r/>
            <w:r>
              <w:rPr>
                <w:rFonts w:ascii="Calibri" w:hAnsi="Calibri"/>
                <w:b w:val="0"/>
                <w:color w:val="14171C"/>
                <w:sz w:val="15"/>
              </w:rPr>
              <w:t>Pillow</w:t>
            </w:r>
          </w:p>
        </w:tc>
        <w:tc>
          <w:tcPr>
            <w:tcW w:type="dxa" w:w="3317"/>
          </w:tcPr>
          <w:p>
            <w:pPr>
              <w:spacing w:before="40" w:after="40"/>
            </w:pPr>
            <w:r/>
            <w:r>
              <w:rPr>
                <w:rFonts w:ascii="Calibri" w:hAnsi="Calibri"/>
                <w:b w:val="0"/>
                <w:color w:val="14171C"/>
                <w:sz w:val="15"/>
              </w:rPr>
              <w:t>12.3.0 (bundled Python)</w:t>
            </w:r>
          </w:p>
        </w:tc>
        <w:tc>
          <w:tcPr>
            <w:tcW w:type="dxa" w:w="3317"/>
          </w:tcPr>
          <w:p>
            <w:pPr>
              <w:spacing w:before="40" w:after="40"/>
            </w:pPr>
            <w:r/>
            <w:r>
              <w:rPr>
                <w:rFonts w:ascii="Calibri" w:hAnsi="Calibri"/>
                <w:b w:val="0"/>
                <w:color w:val="14171C"/>
                <w:sz w:val="15"/>
              </w:rPr>
              <w:t>generates the diagrams in `docs/images/` programmatically (no screenshots are fabricated)</w:t>
            </w:r>
          </w:p>
        </w:tc>
      </w:tr>
    </w:tbl>
    <w:p>
      <w:pPr>
        <w:spacing w:after="80"/>
      </w:pPr>
    </w:p>
    <w:p>
      <w:pPr>
        <w:pStyle w:val="Heading2"/>
      </w:pPr>
      <w:r>
        <w:t>6. Smart Contract Design</w:t>
      </w:r>
    </w:p>
    <w:p>
      <w:r>
        <w:rPr>
          <w:rFonts w:ascii="Calibri" w:hAnsi="Calibri"/>
          <w:color w:val="14171C"/>
          <w:sz w:val="21"/>
        </w:rPr>
        <w:t>MicroLend is one contract with one job: convert supplied ETH into loans and back again without ever losing track of who owns what.</w:t>
      </w:r>
    </w:p>
    <w:p>
      <w:r>
        <w:rPr>
          <w:rFonts w:ascii="Calibri" w:hAnsi="Calibri"/>
          <w:b/>
          <w:color w:val="14171C"/>
          <w:sz w:val="21"/>
        </w:rPr>
        <w:t>Actors and lifecycle.</w:t>
      </w:r>
      <w:r>
        <w:rPr>
          <w:rFonts w:ascii="Calibri" w:hAnsi="Calibri"/>
          <w:color w:val="14171C"/>
          <w:sz w:val="21"/>
        </w:rPr>
        <w:t xml:space="preserve"> A *supplier* calls </w:t>
      </w:r>
      <w:r>
        <w:rPr>
          <w:rFonts w:ascii="Consolas" w:hAnsi="Consolas"/>
          <w:color w:val="0B5F53"/>
          <w:sz w:val="19"/>
        </w:rPr>
        <w:t>deposit()</w:t>
      </w:r>
      <w:r>
        <w:rPr>
          <w:rFonts w:ascii="Calibri" w:hAnsi="Calibri"/>
          <w:color w:val="14171C"/>
          <w:sz w:val="21"/>
        </w:rPr>
        <w:t xml:space="preserve"> and receives pool shares; a *borrower* calls </w:t>
      </w:r>
      <w:r>
        <w:rPr>
          <w:rFonts w:ascii="Consolas" w:hAnsi="Consolas"/>
          <w:color w:val="0B5F53"/>
          <w:sz w:val="19"/>
        </w:rPr>
        <w:t>requestLoan(principal, rateBps, durationDays)</w:t>
      </w:r>
      <w:r>
        <w:rPr>
          <w:rFonts w:ascii="Calibri" w:hAnsi="Calibri"/>
          <w:color w:val="14171C"/>
          <w:sz w:val="21"/>
        </w:rPr>
        <w:t xml:space="preserve"> with collateral attached; anyone may </w:t>
      </w:r>
      <w:r>
        <w:rPr>
          <w:rFonts w:ascii="Consolas" w:hAnsi="Consolas"/>
          <w:color w:val="0B5F53"/>
          <w:sz w:val="19"/>
        </w:rPr>
        <w:t>fundLoan()</w:t>
      </w:r>
      <w:r>
        <w:rPr>
          <w:rFonts w:ascii="Calibri" w:hAnsi="Calibri"/>
          <w:color w:val="14171C"/>
          <w:sz w:val="21"/>
        </w:rPr>
        <w:t xml:space="preserve"> a request the pool cannot cover, or </w:t>
      </w:r>
      <w:r>
        <w:rPr>
          <w:rFonts w:ascii="Consolas" w:hAnsi="Consolas"/>
          <w:color w:val="0B5F53"/>
          <w:sz w:val="19"/>
        </w:rPr>
        <w:t>liquidate()</w:t>
      </w:r>
      <w:r>
        <w:rPr>
          <w:rFonts w:ascii="Calibri" w:hAnsi="Calibri"/>
          <w:color w:val="14171C"/>
          <w:sz w:val="21"/>
        </w:rPr>
        <w:t xml:space="preserve"> an overdue loan. The owner may only change parameters, pause new lending and claim the protocol fee.</w:t>
      </w:r>
    </w:p>
    <w:tbl>
      <w:tblPr>
        <w:tblW w:type="auto" w:w="0"/>
        <w:jc w:val="center"/>
        <w:tblLook w:firstColumn="1" w:firstRow="1" w:lastColumn="0" w:lastRow="0" w:noHBand="0" w:noVBand="1" w:val="04A0"/>
      </w:tblPr>
      <w:tblGrid>
        <w:gridCol w:w="9951"/>
      </w:tblGrid>
      <w:tr>
        <w:tc>
          <w:tcPr>
            <w:tcW w:type="dxa" w:w="9951"/>
            <w:shd w:val="clear" w:color="auto" w:fill="F4F6F8"/>
          </w:tcPr>
          <w:p>
            <w:pPr>
              <w:spacing w:before="0" w:after="0" w:line="240" w:lineRule="auto"/>
            </w:pPr>
            <w:r/>
            <w:r>
              <w:rPr>
                <w:rFonts w:ascii="Consolas" w:hAnsi="Consolas"/>
                <w:color w:val="14171C"/>
                <w:sz w:val="14"/>
              </w:rPr>
              <w:t>LoanStatus: None -&gt; Pending -&gt; Active -&gt; Repaid</w:t>
            </w:r>
          </w:p>
          <w:p>
            <w:pPr>
              <w:spacing w:before="0" w:after="0" w:line="240" w:lineRule="auto"/>
            </w:pPr>
            <w:r>
              <w:rPr>
                <w:rFonts w:ascii="Consolas" w:hAnsi="Consolas"/>
                <w:color w:val="14171C"/>
                <w:sz w:val="14"/>
              </w:rPr>
              <w:t xml:space="preserve">                      |          |</w:t>
            </w:r>
          </w:p>
          <w:p>
            <w:pPr>
              <w:spacing w:before="0" w:after="0" w:line="240" w:lineRule="auto"/>
            </w:pPr>
            <w:r>
              <w:rPr>
                <w:rFonts w:ascii="Consolas" w:hAnsi="Consolas"/>
                <w:color w:val="14171C"/>
                <w:sz w:val="14"/>
              </w:rPr>
              <w:t xml:space="preserve">                      |          +--&gt; Liquidated   (past dueDate, unpaid)</w:t>
            </w:r>
          </w:p>
          <w:p>
            <w:pPr>
              <w:spacing w:before="0" w:after="0" w:line="240" w:lineRule="auto"/>
            </w:pPr>
            <w:r>
              <w:rPr>
                <w:rFonts w:ascii="Consolas" w:hAnsi="Consolas"/>
                <w:color w:val="14171C"/>
                <w:sz w:val="14"/>
              </w:rPr>
              <w:t xml:space="preserve">                      +--&gt; Cancelled               (borrower, while unfunded)</w:t>
            </w:r>
          </w:p>
        </w:tc>
      </w:tr>
    </w:tbl>
    <w:p>
      <w:pPr>
        <w:spacing w:after="80"/>
      </w:pPr>
    </w:p>
    <w:p>
      <w:r>
        <w:rPr>
          <w:rFonts w:ascii="Calibri" w:hAnsi="Calibri"/>
          <w:b/>
          <w:color w:val="14171C"/>
          <w:sz w:val="21"/>
        </w:rPr>
        <w:t>Arithmetic.</w:t>
      </w:r>
      <w:r>
        <w:rPr>
          <w:rFonts w:ascii="Calibri" w:hAnsi="Calibri"/>
          <w:color w:val="14171C"/>
          <w:sz w:val="21"/>
        </w:rPr>
        <w:t xml:space="preserve"> Interest is simple, pro-rated over a 365-day year, and frozen when the loan is created:</w:t>
      </w:r>
    </w:p>
    <w:tbl>
      <w:tblPr>
        <w:tblW w:type="auto" w:w="0"/>
        <w:jc w:val="center"/>
        <w:tblLook w:firstColumn="1" w:firstRow="1" w:lastColumn="0" w:lastRow="0" w:noHBand="0" w:noVBand="1" w:val="04A0"/>
      </w:tblPr>
      <w:tblGrid>
        <w:gridCol w:w="9951"/>
      </w:tblGrid>
      <w:tr>
        <w:tc>
          <w:tcPr>
            <w:tcW w:type="dxa" w:w="9951"/>
            <w:shd w:val="clear" w:color="auto" w:fill="F4F6F8"/>
          </w:tcPr>
          <w:p>
            <w:pPr>
              <w:spacing w:before="0" w:after="0" w:line="240" w:lineRule="auto"/>
            </w:pPr>
            <w:r/>
            <w:r>
              <w:rPr>
                <w:rFonts w:ascii="Consolas" w:hAnsi="Consolas"/>
                <w:color w:val="14171C"/>
                <w:sz w:val="14"/>
              </w:rPr>
              <w:t>interestWei = principal * rateBps * durationDays / (10_000 * 365)</w:t>
            </w:r>
          </w:p>
          <w:p>
            <w:pPr>
              <w:spacing w:before="0" w:after="0" w:line="240" w:lineRule="auto"/>
            </w:pPr>
            <w:r>
              <w:rPr>
                <w:rFonts w:ascii="Consolas" w:hAnsi="Consolas"/>
                <w:color w:val="14171C"/>
                <w:sz w:val="14"/>
              </w:rPr>
              <w:t>amountDue   = principal + interestWei                       (on time)</w:t>
            </w:r>
          </w:p>
          <w:p>
            <w:pPr>
              <w:spacing w:before="0" w:after="0" w:line="240" w:lineRule="auto"/>
            </w:pPr>
            <w:r>
              <w:rPr>
                <w:rFonts w:ascii="Consolas" w:hAnsi="Consolas"/>
                <w:color w:val="14171C"/>
                <w:sz w:val="14"/>
              </w:rPr>
              <w:t>lateFee     = amountDue * lateFeeBps * periods / 10_000     periods = started 30-day periods late</w:t>
            </w:r>
          </w:p>
          <w:p>
            <w:pPr>
              <w:spacing w:before="0" w:after="0" w:line="240" w:lineRule="auto"/>
            </w:pPr>
            <w:r>
              <w:rPr>
                <w:rFonts w:ascii="Consolas" w:hAnsi="Consolas"/>
                <w:color w:val="14171C"/>
                <w:sz w:val="14"/>
              </w:rPr>
              <w:t>fee         = interestWei * feeBps / 10_000                 feeBps default 1_000 (10% of interest)</w:t>
            </w:r>
          </w:p>
        </w:tc>
      </w:tr>
    </w:tbl>
    <w:p>
      <w:pPr>
        <w:spacing w:after="80"/>
      </w:pPr>
    </w:p>
    <w:p>
      <w:r>
        <w:rPr>
          <w:rFonts w:ascii="Calibri" w:hAnsi="Calibri"/>
          <w:color w:val="14171C"/>
          <w:sz w:val="21"/>
        </w:rPr>
        <w:t xml:space="preserve">On repayment the pool credits </w:t>
      </w:r>
      <w:r>
        <w:rPr>
          <w:rFonts w:ascii="Consolas" w:hAnsi="Consolas"/>
          <w:color w:val="0B5F53"/>
          <w:sz w:val="19"/>
        </w:rPr>
        <w:t>netInterest + lateFee</w:t>
      </w:r>
      <w:r>
        <w:rPr>
          <w:rFonts w:ascii="Calibri" w:hAnsi="Calibri"/>
          <w:color w:val="14171C"/>
          <w:sz w:val="21"/>
        </w:rPr>
        <w:t xml:space="preserve"> to </w:t>
      </w:r>
      <w:r>
        <w:rPr>
          <w:rFonts w:ascii="Consolas" w:hAnsi="Consolas"/>
          <w:color w:val="0B5F53"/>
          <w:sz w:val="19"/>
        </w:rPr>
        <w:t>totalLiquidity</w:t>
      </w:r>
      <w:r>
        <w:rPr>
          <w:rFonts w:ascii="Calibri" w:hAnsi="Calibri"/>
          <w:color w:val="14171C"/>
          <w:sz w:val="21"/>
        </w:rPr>
        <w:t xml:space="preserve"> — the principal was already a supplier claim held in </w:t>
      </w:r>
      <w:r>
        <w:rPr>
          <w:rFonts w:ascii="Consolas" w:hAnsi="Consolas"/>
          <w:color w:val="0B5F53"/>
          <w:sz w:val="19"/>
        </w:rPr>
        <w:t>reservedLiquidity</w:t>
      </w:r>
      <w:r>
        <w:rPr>
          <w:rFonts w:ascii="Calibri" w:hAnsi="Calibri"/>
          <w:color w:val="14171C"/>
          <w:sz w:val="21"/>
        </w:rPr>
        <w:t xml:space="preserve">, so crediting it again would create claims the contract could not honour. That exact mistake was made, caught by two independent reviewers and fixed; the sequence is recorded in §9.4 and in </w:t>
      </w:r>
      <w:r>
        <w:rPr>
          <w:rFonts w:ascii="Consolas" w:hAnsi="Consolas"/>
          <w:color w:val="0B5F53"/>
          <w:sz w:val="19"/>
        </w:rPr>
        <w:t>docs/CHANGELOG.md</w:t>
      </w:r>
      <w:r>
        <w:rPr>
          <w:rFonts w:ascii="Calibri" w:hAnsi="Calibri"/>
          <w:color w:val="14171C"/>
          <w:sz w:val="21"/>
        </w:rPr>
        <w:t xml:space="preserve">. On liquidation the claim settles as </w:t>
      </w:r>
      <w:r>
        <w:rPr>
          <w:rFonts w:ascii="Consolas" w:hAnsi="Consolas"/>
          <w:color w:val="0B5F53"/>
          <w:sz w:val="19"/>
        </w:rPr>
        <w:t>totalLiquidity - principal + compensation</w:t>
      </w:r>
      <w:r>
        <w:rPr>
          <w:rFonts w:ascii="Calibri" w:hAnsi="Calibri"/>
          <w:color w:val="14171C"/>
          <w:sz w:val="21"/>
        </w:rPr>
        <w:t>, which makes suppliers the residual claimant and lets them genuinely bear a default shortfall.</w:t>
      </w:r>
    </w:p>
    <w:p>
      <w:r>
        <w:rPr>
          <w:rFonts w:ascii="Calibri" w:hAnsi="Calibri"/>
          <w:b/>
          <w:color w:val="14171C"/>
          <w:sz w:val="21"/>
        </w:rPr>
        <w:t>Share accounting.</w:t>
      </w:r>
      <w:r>
        <w:rPr>
          <w:rFonts w:ascii="Calibri" w:hAnsi="Calibri"/>
          <w:color w:val="14171C"/>
          <w:sz w:val="21"/>
        </w:rPr>
        <w:t xml:space="preserve"> Shares are 1:1 with wei on the first deposit, which also parks one *dead share* on the contract. That single share is what defeats the classic first-depositor inflation attack: an attacker cannot raise the share price by donating, because a donation lifts the value of the dead share too, and the victim's mint is computed against the inflated book.</w:t>
      </w:r>
    </w:p>
    <w:p>
      <w:r>
        <w:rPr>
          <w:rFonts w:ascii="Calibri" w:hAnsi="Calibri"/>
          <w:b/>
          <w:color w:val="14171C"/>
          <w:sz w:val="21"/>
        </w:rPr>
        <w:t>Security.</w:t>
      </w:r>
      <w:r>
        <w:rPr>
          <w:rFonts w:ascii="Calibri" w:hAnsi="Calibri"/>
          <w:color w:val="14171C"/>
          <w:sz w:val="21"/>
        </w:rPr>
        <w:t xml:space="preserve"> Every state-changing entry point is non-reentrant and follows checks-effects- interactions; ETH leaves only through a low-level </w:t>
      </w:r>
      <w:r>
        <w:rPr>
          <w:rFonts w:ascii="Consolas" w:hAnsi="Consolas"/>
          <w:color w:val="0B5F53"/>
          <w:sz w:val="19"/>
        </w:rPr>
        <w:t>call</w:t>
      </w:r>
      <w:r>
        <w:rPr>
          <w:rFonts w:ascii="Calibri" w:hAnsi="Calibri"/>
          <w:color w:val="14171C"/>
          <w:sz w:val="21"/>
        </w:rPr>
        <w:t xml:space="preserve"> whose status is checked. Inputs are range-checked against live parameters (</w:t>
      </w:r>
      <w:r>
        <w:rPr>
          <w:rFonts w:ascii="Consolas" w:hAnsi="Consolas"/>
          <w:color w:val="0B5F53"/>
          <w:sz w:val="19"/>
        </w:rPr>
        <w:t>minDeposit</w:t>
      </w:r>
      <w:r>
        <w:rPr>
          <w:rFonts w:ascii="Calibri" w:hAnsi="Calibri"/>
          <w:color w:val="14171C"/>
          <w:sz w:val="21"/>
        </w:rPr>
        <w:t xml:space="preserve">, </w:t>
      </w:r>
      <w:r>
        <w:rPr>
          <w:rFonts w:ascii="Consolas" w:hAnsi="Consolas"/>
          <w:color w:val="0B5F53"/>
          <w:sz w:val="19"/>
        </w:rPr>
        <w:t>minLoanPrincipal</w:t>
      </w:r>
      <w:r>
        <w:rPr>
          <w:rFonts w:ascii="Calibri" w:hAnsi="Calibri"/>
          <w:color w:val="14171C"/>
          <w:sz w:val="21"/>
        </w:rPr>
        <w:t xml:space="preserve">, </w:t>
      </w:r>
      <w:r>
        <w:rPr>
          <w:rFonts w:ascii="Consolas" w:hAnsi="Consolas"/>
          <w:color w:val="0B5F53"/>
          <w:sz w:val="19"/>
        </w:rPr>
        <w:t>maxLoanPrincipal</w:t>
      </w:r>
      <w:r>
        <w:rPr>
          <w:rFonts w:ascii="Calibri" w:hAnsi="Calibri"/>
          <w:color w:val="14171C"/>
          <w:sz w:val="21"/>
        </w:rPr>
        <w:t xml:space="preserve">, </w:t>
      </w:r>
      <w:r>
        <w:rPr>
          <w:rFonts w:ascii="Consolas" w:hAnsi="Consolas"/>
          <w:color w:val="0B5F53"/>
          <w:sz w:val="19"/>
        </w:rPr>
        <w:t>maxDurationDays</w:t>
      </w:r>
      <w:r>
        <w:rPr>
          <w:rFonts w:ascii="Calibri" w:hAnsi="Calibri"/>
          <w:color w:val="14171C"/>
          <w:sz w:val="21"/>
        </w:rPr>
        <w:t xml:space="preserve">, </w:t>
      </w:r>
      <w:r>
        <w:rPr>
          <w:rFonts w:ascii="Consolas" w:hAnsi="Consolas"/>
          <w:color w:val="0B5F53"/>
          <w:sz w:val="19"/>
        </w:rPr>
        <w:t>maxRateBps</w:t>
      </w:r>
      <w:r>
        <w:rPr>
          <w:rFonts w:ascii="Calibri" w:hAnsi="Calibri"/>
          <w:color w:val="14171C"/>
          <w:sz w:val="21"/>
        </w:rPr>
        <w:t xml:space="preserve">, </w:t>
      </w:r>
      <w:r>
        <w:rPr>
          <w:rFonts w:ascii="Consolas" w:hAnsi="Consolas"/>
          <w:color w:val="0B5F53"/>
          <w:sz w:val="19"/>
        </w:rPr>
        <w:t>minCollateralBps</w:t>
      </w:r>
      <w:r>
        <w:rPr>
          <w:rFonts w:ascii="Calibri" w:hAnsi="Calibri"/>
          <w:color w:val="14171C"/>
          <w:sz w:val="21"/>
        </w:rPr>
        <w:t xml:space="preserve">), and 25 distinct custom errors make each failure mode machine-readable. </w:t>
      </w:r>
      <w:r>
        <w:rPr>
          <w:rFonts w:ascii="Consolas" w:hAnsi="Consolas"/>
          <w:color w:val="0B5F53"/>
          <w:sz w:val="19"/>
        </w:rPr>
        <w:t>receive()</w:t>
      </w:r>
      <w:r>
        <w:rPr>
          <w:rFonts w:ascii="Calibri" w:hAnsi="Calibri"/>
          <w:color w:val="14171C"/>
          <w:sz w:val="21"/>
        </w:rPr>
        <w:t xml:space="preserve"> and </w:t>
      </w:r>
      <w:r>
        <w:rPr>
          <w:rFonts w:ascii="Consolas" w:hAnsi="Consolas"/>
          <w:color w:val="0B5F53"/>
          <w:sz w:val="19"/>
        </w:rPr>
        <w:t>fallback()</w:t>
      </w:r>
      <w:r>
        <w:rPr>
          <w:rFonts w:ascii="Calibri" w:hAnsi="Calibri"/>
          <w:color w:val="14171C"/>
          <w:sz w:val="21"/>
        </w:rPr>
        <w:t xml:space="preserve"> revert, so ETH cannot be donated into the pool by accident. Gas is managed with </w:t>
      </w:r>
      <w:r>
        <w:rPr>
          <w:rFonts w:ascii="Consolas" w:hAnsi="Consolas"/>
          <w:color w:val="0B5F53"/>
          <w:sz w:val="19"/>
        </w:rPr>
        <w:t>constant</w:t>
      </w:r>
      <w:r>
        <w:rPr>
          <w:rFonts w:ascii="Calibri" w:hAnsi="Calibri"/>
          <w:color w:val="14171C"/>
          <w:sz w:val="21"/>
        </w:rPr>
        <w:t xml:space="preserve"> tables, custom errors instead of revert strings, and tight packing of the </w:t>
      </w:r>
      <w:r>
        <w:rPr>
          <w:rFonts w:ascii="Consolas" w:hAnsi="Consolas"/>
          <w:color w:val="0B5F53"/>
          <w:sz w:val="19"/>
        </w:rPr>
        <w:t>Loan</w:t>
      </w:r>
      <w:r>
        <w:rPr>
          <w:rFonts w:ascii="Calibri" w:hAnsi="Calibri"/>
          <w:color w:val="14171C"/>
          <w:sz w:val="21"/>
        </w:rPr>
        <w:t xml:space="preserve"> struct.</w:t>
      </w:r>
    </w:p>
    <w:tbl>
      <w:tblPr>
        <w:tblStyle w:val="TableGrid"/>
        <w:tblW w:type="auto" w:w="0"/>
        <w:jc w:val="center"/>
        <w:tblLook w:firstColumn="1" w:firstRow="1" w:lastColumn="0" w:lastRow="0" w:noHBand="0" w:noVBand="1" w:val="04A0"/>
      </w:tblPr>
      <w:tblGrid>
        <w:gridCol w:w="4975"/>
        <w:gridCol w:w="4975"/>
      </w:tblGrid>
      <w:tr>
        <w:tc>
          <w:tcPr>
            <w:tcW w:type="dxa" w:w="4975"/>
            <w:shd w:val="clear" w:color="auto" w:fill="E8F1EF"/>
          </w:tcPr>
          <w:p>
            <w:pPr>
              <w:spacing w:before="40" w:after="40"/>
            </w:pPr>
            <w:r/>
            <w:r>
              <w:rPr>
                <w:rFonts w:ascii="Calibri" w:hAnsi="Calibri"/>
                <w:b/>
                <w:color w:val="14171C"/>
                <w:sz w:val="15"/>
              </w:rPr>
              <w:t>Design decision</w:t>
            </w:r>
          </w:p>
        </w:tc>
        <w:tc>
          <w:tcPr>
            <w:tcW w:type="dxa" w:w="4975"/>
            <w:shd w:val="clear" w:color="auto" w:fill="E8F1EF"/>
          </w:tcPr>
          <w:p>
            <w:pPr>
              <w:spacing w:before="40" w:after="40"/>
            </w:pPr>
            <w:r/>
            <w:r>
              <w:rPr>
                <w:rFonts w:ascii="Calibri" w:hAnsi="Calibri"/>
                <w:b/>
                <w:color w:val="14171C"/>
                <w:sz w:val="15"/>
              </w:rPr>
              <w:t>Why it is safe</w:t>
            </w:r>
          </w:p>
        </w:tc>
      </w:tr>
      <w:tr>
        <w:tc>
          <w:tcPr>
            <w:tcW w:type="dxa" w:w="4975"/>
          </w:tcPr>
          <w:p>
            <w:pPr>
              <w:spacing w:before="40" w:after="40"/>
            </w:pPr>
            <w:r/>
            <w:r>
              <w:rPr>
                <w:rFonts w:ascii="Calibri" w:hAnsi="Calibri"/>
                <w:b w:val="0"/>
                <w:color w:val="14171C"/>
                <w:sz w:val="15"/>
              </w:rPr>
              <w:t>ETH-only denomination</w:t>
            </w:r>
          </w:p>
        </w:tc>
        <w:tc>
          <w:tcPr>
            <w:tcW w:type="dxa" w:w="4975"/>
          </w:tcPr>
          <w:p>
            <w:pPr>
              <w:spacing w:before="40" w:after="40"/>
            </w:pPr>
            <w:r/>
            <w:r>
              <w:rPr>
                <w:rFonts w:ascii="Calibri" w:hAnsi="Calibri"/>
                <w:b w:val="0"/>
                <w:color w:val="14171C"/>
                <w:sz w:val="15"/>
              </w:rPr>
              <w:t>no oracle in the critical path; a stale price cannot trigger a bad liquidation</w:t>
            </w:r>
          </w:p>
        </w:tc>
      </w:tr>
      <w:tr>
        <w:tc>
          <w:tcPr>
            <w:tcW w:type="dxa" w:w="4975"/>
            <w:shd w:val="clear" w:color="auto" w:fill="F7F9FA"/>
          </w:tcPr>
          <w:p>
            <w:pPr>
              <w:spacing w:before="40" w:after="40"/>
            </w:pPr>
            <w:r/>
            <w:r>
              <w:rPr>
                <w:rFonts w:ascii="Calibri" w:hAnsi="Calibri"/>
                <w:b w:val="0"/>
                <w:color w:val="14171C"/>
                <w:sz w:val="15"/>
              </w:rPr>
              <w:t>Interest frozen at origination</w:t>
            </w:r>
          </w:p>
        </w:tc>
        <w:tc>
          <w:tcPr>
            <w:tcW w:type="dxa" w:w="4975"/>
            <w:shd w:val="clear" w:color="auto" w:fill="F7F9FA"/>
          </w:tcPr>
          <w:p>
            <w:pPr>
              <w:spacing w:before="40" w:after="40"/>
            </w:pPr>
            <w:r/>
            <w:r>
              <w:rPr>
                <w:rFonts w:ascii="Calibri" w:hAnsi="Calibri"/>
                <w:b w:val="0"/>
                <w:color w:val="14171C"/>
                <w:sz w:val="15"/>
              </w:rPr>
              <w:t>the borrower's obligation cannot be changed mid-loan by an owner parameter edit</w:t>
            </w:r>
          </w:p>
        </w:tc>
      </w:tr>
      <w:tr>
        <w:tc>
          <w:tcPr>
            <w:tcW w:type="dxa" w:w="4975"/>
          </w:tcPr>
          <w:p>
            <w:pPr>
              <w:spacing w:before="40" w:after="40"/>
            </w:pPr>
            <w:r/>
            <w:r>
              <w:rPr>
                <w:rFonts w:ascii="Calibri" w:hAnsi="Calibri"/>
                <w:b w:val="0"/>
                <w:color w:val="14171C"/>
                <w:sz w:val="15"/>
              </w:rPr>
              <w:t>Collateral pooled in-contract</w:t>
            </w:r>
          </w:p>
        </w:tc>
        <w:tc>
          <w:tcPr>
            <w:tcW w:type="dxa" w:w="4975"/>
          </w:tcPr>
          <w:p>
            <w:pPr>
              <w:spacing w:before="40" w:after="40"/>
            </w:pPr>
            <w:r/>
            <w:r>
              <w:rPr>
                <w:rFonts w:ascii="Calibri" w:hAnsi="Calibri"/>
                <w:b w:val="0"/>
                <w:color w:val="14171C"/>
                <w:sz w:val="15"/>
              </w:rPr>
              <w:t>liquidation needs no external transfer or approval step</w:t>
            </w:r>
          </w:p>
        </w:tc>
      </w:tr>
      <w:tr>
        <w:tc>
          <w:tcPr>
            <w:tcW w:type="dxa" w:w="4975"/>
            <w:shd w:val="clear" w:color="auto" w:fill="F7F9FA"/>
          </w:tcPr>
          <w:p>
            <w:pPr>
              <w:spacing w:before="40" w:after="40"/>
            </w:pPr>
            <w:r/>
            <w:r>
              <w:rPr>
                <w:rFonts w:ascii="Calibri" w:hAnsi="Calibri"/>
                <w:b w:val="0"/>
                <w:color w:val="14171C"/>
                <w:sz w:val="15"/>
              </w:rPr>
              <w:t>Protocol fee capped at 20% of interest</w:t>
            </w:r>
          </w:p>
        </w:tc>
        <w:tc>
          <w:tcPr>
            <w:tcW w:type="dxa" w:w="4975"/>
            <w:shd w:val="clear" w:color="auto" w:fill="F7F9FA"/>
          </w:tcPr>
          <w:p>
            <w:pPr>
              <w:spacing w:before="40" w:after="40"/>
            </w:pPr>
            <w:r/>
            <w:r>
              <w:rPr>
                <w:rFonts w:ascii="Calibri" w:hAnsi="Calibri"/>
                <w:b w:val="0"/>
                <w:color w:val="14171C"/>
                <w:sz w:val="15"/>
              </w:rPr>
              <w:t>`setParams` cannot set a fee that drains principal</w:t>
            </w:r>
          </w:p>
        </w:tc>
      </w:tr>
      <w:tr>
        <w:tc>
          <w:tcPr>
            <w:tcW w:type="dxa" w:w="4975"/>
          </w:tcPr>
          <w:p>
            <w:pPr>
              <w:spacing w:before="40" w:after="40"/>
            </w:pPr>
            <w:r/>
            <w:r>
              <w:rPr>
                <w:rFonts w:ascii="Calibri" w:hAnsi="Calibri"/>
                <w:b w:val="0"/>
                <w:color w:val="14171C"/>
                <w:sz w:val="15"/>
              </w:rPr>
              <w:t>Owner cannot withdraw user funds</w:t>
            </w:r>
          </w:p>
        </w:tc>
        <w:tc>
          <w:tcPr>
            <w:tcW w:type="dxa" w:w="4975"/>
          </w:tcPr>
          <w:p>
            <w:pPr>
              <w:spacing w:before="40" w:after="40"/>
            </w:pPr>
            <w:r/>
            <w:r>
              <w:rPr>
                <w:rFonts w:ascii="Calibri" w:hAnsi="Calibri"/>
                <w:b w:val="0"/>
                <w:color w:val="14171C"/>
                <w:sz w:val="15"/>
              </w:rPr>
              <w:t>`claimTreasury` is limited to `treasuryBalance`, itself bounded by realised interest</w:t>
            </w:r>
          </w:p>
        </w:tc>
      </w:tr>
    </w:tbl>
    <w:p>
      <w:pPr>
        <w:spacing w:after="80"/>
      </w:pPr>
    </w:p>
    <w:p>
      <w:pPr>
        <w:pStyle w:val="Heading2"/>
      </w:pPr>
      <w:r>
        <w:t>7. Application Design</w:t>
      </w:r>
    </w:p>
    <w:p>
      <w:r>
        <w:rPr>
          <w:rFonts w:ascii="Calibri" w:hAnsi="Calibri"/>
          <w:b/>
          <w:color w:val="14171C"/>
          <w:sz w:val="21"/>
        </w:rPr>
        <w:t>System shape.</w:t>
      </w:r>
      <w:r>
        <w:rPr>
          <w:rFonts w:ascii="Calibri" w:hAnsi="Calibri"/>
          <w:color w:val="14171C"/>
          <w:sz w:val="21"/>
        </w:rPr>
        <w:t xml:space="preserve"> Four layers, each replaceable: the browser client, a Flask indexing service, a chain, and the contract.</w:t>
      </w:r>
    </w:p>
    <w:tbl>
      <w:tblPr>
        <w:tblW w:type="auto" w:w="0"/>
        <w:jc w:val="center"/>
        <w:tblLook w:firstColumn="1" w:firstRow="1" w:lastColumn="0" w:lastRow="0" w:noHBand="0" w:noVBand="1" w:val="04A0"/>
      </w:tblPr>
      <w:tblGrid>
        <w:gridCol w:w="9951"/>
      </w:tblGrid>
      <w:tr>
        <w:tc>
          <w:tcPr>
            <w:tcW w:type="dxa" w:w="9951"/>
            <w:shd w:val="clear" w:color="auto" w:fill="F4F6F8"/>
          </w:tcPr>
          <w:p>
            <w:pPr>
              <w:spacing w:before="0" w:after="0" w:line="240" w:lineRule="auto"/>
            </w:pPr>
            <w:r/>
            <w:r>
              <w:rPr>
                <w:rFonts w:ascii="Consolas" w:hAnsi="Consolas"/>
                <w:color w:val="14171C"/>
                <w:sz w:val="14"/>
              </w:rPr>
              <w:t>browser (MetaMask)                     Flask API                    chain</w:t>
            </w:r>
          </w:p>
          <w:p>
            <w:pPr>
              <w:spacing w:before="0" w:after="0" w:line="240" w:lineRule="auto"/>
            </w:pPr>
            <w:r>
              <w:rPr>
                <w:rFonts w:ascii="Consolas" w:hAnsi="Consolas"/>
                <w:color w:val="14171C"/>
                <w:sz w:val="14"/>
              </w:rPr>
              <w:t>-----------------                      ---------                    -----</w:t>
            </w:r>
          </w:p>
          <w:p>
            <w:pPr>
              <w:spacing w:before="0" w:after="0" w:line="240" w:lineRule="auto"/>
            </w:pPr>
            <w:r>
              <w:rPr>
                <w:rFonts w:ascii="Consolas" w:hAnsi="Consolas"/>
                <w:color w:val="14171C"/>
                <w:sz w:val="14"/>
              </w:rPr>
              <w:t>frontend/js/*  -- personal_sign ----&gt;  POST /api/auth/*  ---+</w:t>
            </w:r>
          </w:p>
          <w:p>
            <w:pPr>
              <w:spacing w:before="0" w:after="0" w:line="240" w:lineRule="auto"/>
            </w:pPr>
            <w:r>
              <w:rPr>
                <w:rFonts w:ascii="Consolas" w:hAnsi="Consolas"/>
                <w:color w:val="14171C"/>
                <w:sz w:val="14"/>
              </w:rPr>
              <w:t xml:space="preserve">               -- eth_sendTransaction -&gt; (token)                |</w:t>
            </w:r>
          </w:p>
          <w:p>
            <w:pPr>
              <w:spacing w:before="0" w:after="0" w:line="240" w:lineRule="auto"/>
            </w:pPr>
            <w:r>
              <w:rPr>
                <w:rFonts w:ascii="Consolas" w:hAnsi="Consolas"/>
                <w:color w:val="14171C"/>
                <w:sz w:val="14"/>
              </w:rPr>
              <w:t>ethers.Contract ---- RPC -------------------------------------+--&gt; MicroLendPool</w:t>
            </w:r>
          </w:p>
          <w:p>
            <w:pPr>
              <w:spacing w:before="0" w:after="0" w:line="240" w:lineRule="auto"/>
            </w:pPr>
            <w:r>
              <w:rPr>
                <w:rFonts w:ascii="Consolas" w:hAnsi="Consolas"/>
                <w:color w:val="14171C"/>
                <w:sz w:val="14"/>
              </w:rPr>
              <w:t xml:space="preserve">               &lt;--- events/receipts ---  SQLite index  &lt;--- receipts</w:t>
            </w:r>
          </w:p>
        </w:tc>
      </w:tr>
    </w:tbl>
    <w:p>
      <w:pPr>
        <w:spacing w:after="80"/>
      </w:pPr>
    </w:p>
    <w:p>
      <w:r>
        <w:rPr>
          <w:rFonts w:ascii="Calibri" w:hAnsi="Calibri"/>
          <w:b/>
          <w:color w:val="14171C"/>
          <w:sz w:val="21"/>
        </w:rPr>
        <w:t>Trust boundary.</w:t>
      </w:r>
      <w:r>
        <w:rPr>
          <w:rFonts w:ascii="Calibri" w:hAnsi="Calibri"/>
          <w:color w:val="14171C"/>
          <w:sz w:val="21"/>
        </w:rPr>
        <w:t xml:space="preserve"> The Flask service never sees a private key. A wallet authenticates by signing a single-use nonce; the backend recovers the signer with a pure-Python secp256k1 </w:t>
      </w:r>
      <w:r>
        <w:rPr>
          <w:rFonts w:ascii="Consolas" w:hAnsi="Consolas"/>
          <w:color w:val="0B5F53"/>
          <w:sz w:val="19"/>
        </w:rPr>
        <w:t>ecrecover</w:t>
      </w:r>
      <w:r>
        <w:rPr>
          <w:rFonts w:ascii="Calibri" w:hAnsi="Calibri"/>
          <w:color w:val="14171C"/>
          <w:sz w:val="21"/>
        </w:rPr>
        <w:t xml:space="preserve">, issues an HMAC bearer token, and thereafter refuses any write whose transaction sender is not the authenticated address. Every indexed write re-reads the receipt from the chain, requires </w:t>
      </w:r>
      <w:r>
        <w:rPr>
          <w:rFonts w:ascii="Consolas" w:hAnsi="Consolas"/>
          <w:color w:val="0B5F53"/>
          <w:sz w:val="19"/>
        </w:rPr>
        <w:t>status == 1</w:t>
      </w:r>
      <w:r>
        <w:rPr>
          <w:rFonts w:ascii="Calibri" w:hAnsi="Calibri"/>
          <w:color w:val="14171C"/>
          <w:sz w:val="21"/>
        </w:rPr>
        <w:t>, and refuses to record anything it cannot reconcile with the decoded event — so the database is a cache of chain facts, never a source of them.</w:t>
      </w:r>
    </w:p>
    <w:p>
      <w:r>
        <w:rPr>
          <w:rFonts w:ascii="Calibri" w:hAnsi="Calibri"/>
          <w:b/>
          <w:color w:val="14171C"/>
          <w:sz w:val="21"/>
        </w:rPr>
        <w:t>Client.</w:t>
      </w:r>
      <w:r>
        <w:rPr>
          <w:rFonts w:ascii="Calibri" w:hAnsi="Calibri"/>
          <w:color w:val="14171C"/>
          <w:sz w:val="21"/>
        </w:rPr>
        <w:t xml:space="preserve"> Plain HTML/CSS/JS with </w:t>
      </w:r>
      <w:r>
        <w:rPr>
          <w:rFonts w:ascii="Consolas" w:hAnsi="Consolas"/>
          <w:color w:val="0B5F53"/>
          <w:sz w:val="19"/>
        </w:rPr>
        <w:t>window.ML_*</w:t>
      </w:r>
      <w:r>
        <w:rPr>
          <w:rFonts w:ascii="Calibri" w:hAnsi="Calibri"/>
          <w:color w:val="14171C"/>
          <w:sz w:val="21"/>
        </w:rPr>
        <w:t xml:space="preserve"> globals and no build step, so the submission runs by opening a file. </w:t>
      </w:r>
      <w:r>
        <w:rPr>
          <w:rFonts w:ascii="Consolas" w:hAnsi="Consolas"/>
          <w:color w:val="0B5F53"/>
          <w:sz w:val="19"/>
        </w:rPr>
        <w:t>frontend/js/demo.js</w:t>
      </w:r>
      <w:r>
        <w:rPr>
          <w:rFonts w:ascii="Calibri" w:hAnsi="Calibri"/>
          <w:color w:val="14171C"/>
          <w:sz w:val="21"/>
        </w:rPr>
        <w:t xml:space="preserve"> mirrors the contract arithmetic against a </w:t>
      </w:r>
      <w:r>
        <w:rPr>
          <w:rFonts w:ascii="Consolas" w:hAnsi="Consolas"/>
          <w:color w:val="0B5F53"/>
          <w:sz w:val="19"/>
        </w:rPr>
        <w:t>localStorage</w:t>
      </w:r>
      <w:r>
        <w:rPr>
          <w:rFonts w:ascii="Calibri" w:hAnsi="Calibri"/>
          <w:color w:val="14171C"/>
          <w:sz w:val="21"/>
        </w:rPr>
        <w:t xml:space="preserve"> ledger, which is what makes the DApp fully demonstrable with no wallet and no testnet funds; a badge and a banner mark every demo surface so the two modes cannot be confused.</w:t>
      </w:r>
    </w:p>
    <w:tbl>
      <w:tblPr>
        <w:tblStyle w:val="TableGrid"/>
        <w:tblW w:type="auto" w:w="0"/>
        <w:jc w:val="center"/>
        <w:tblLook w:firstColumn="1" w:firstRow="1" w:lastColumn="0" w:lastRow="0" w:noHBand="0" w:noVBand="1" w:val="04A0"/>
      </w:tblPr>
      <w:tblGrid>
        <w:gridCol w:w="4975"/>
        <w:gridCol w:w="4975"/>
      </w:tblGrid>
      <w:tr>
        <w:tc>
          <w:tcPr>
            <w:tcW w:type="dxa" w:w="4975"/>
            <w:shd w:val="clear" w:color="auto" w:fill="E8F1EF"/>
          </w:tcPr>
          <w:p>
            <w:pPr>
              <w:spacing w:before="40" w:after="40"/>
            </w:pPr>
            <w:r/>
            <w:r>
              <w:rPr>
                <w:rFonts w:ascii="Calibri" w:hAnsi="Calibri"/>
                <w:b/>
                <w:color w:val="14171C"/>
                <w:sz w:val="15"/>
              </w:rPr>
              <w:t>Panel</w:t>
            </w:r>
          </w:p>
        </w:tc>
        <w:tc>
          <w:tcPr>
            <w:tcW w:type="dxa" w:w="4975"/>
            <w:shd w:val="clear" w:color="auto" w:fill="E8F1EF"/>
          </w:tcPr>
          <w:p>
            <w:pPr>
              <w:spacing w:before="40" w:after="40"/>
            </w:pPr>
            <w:r/>
            <w:r>
              <w:rPr>
                <w:rFonts w:ascii="Calibri" w:hAnsi="Calibri"/>
                <w:b/>
                <w:color w:val="14171C"/>
                <w:sz w:val="15"/>
              </w:rPr>
              <w:t>Purpose</w:t>
            </w:r>
          </w:p>
        </w:tc>
      </w:tr>
      <w:tr>
        <w:tc>
          <w:tcPr>
            <w:tcW w:type="dxa" w:w="4975"/>
          </w:tcPr>
          <w:p>
            <w:pPr>
              <w:spacing w:before="40" w:after="40"/>
            </w:pPr>
            <w:r/>
            <w:r>
              <w:rPr>
                <w:rFonts w:ascii="Calibri" w:hAnsi="Calibri"/>
                <w:b w:val="0"/>
                <w:color w:val="14171C"/>
                <w:sz w:val="15"/>
              </w:rPr>
              <w:t>Pool instrument</w:t>
            </w:r>
          </w:p>
        </w:tc>
        <w:tc>
          <w:tcPr>
            <w:tcW w:type="dxa" w:w="4975"/>
          </w:tcPr>
          <w:p>
            <w:pPr>
              <w:spacing w:before="40" w:after="40"/>
            </w:pPr>
            <w:r/>
            <w:r>
              <w:rPr>
                <w:rFonts w:ascii="Calibri" w:hAnsi="Calibri"/>
                <w:b w:val="0"/>
                <w:color w:val="14171C"/>
                <w:sz w:val="15"/>
              </w:rPr>
              <w:t>utilisation gauge, borrowed vs available, share price</w:t>
            </w:r>
          </w:p>
        </w:tc>
      </w:tr>
      <w:tr>
        <w:tc>
          <w:tcPr>
            <w:tcW w:type="dxa" w:w="4975"/>
            <w:shd w:val="clear" w:color="auto" w:fill="F7F9FA"/>
          </w:tcPr>
          <w:p>
            <w:pPr>
              <w:spacing w:before="40" w:after="40"/>
            </w:pPr>
            <w:r/>
            <w:r>
              <w:rPr>
                <w:rFonts w:ascii="Calibri" w:hAnsi="Calibri"/>
                <w:b w:val="0"/>
                <w:color w:val="14171C"/>
                <w:sz w:val="15"/>
              </w:rPr>
              <w:t>Supply / withdraw</w:t>
            </w:r>
          </w:p>
        </w:tc>
        <w:tc>
          <w:tcPr>
            <w:tcW w:type="dxa" w:w="4975"/>
            <w:shd w:val="clear" w:color="auto" w:fill="F7F9FA"/>
          </w:tcPr>
          <w:p>
            <w:pPr>
              <w:spacing w:before="40" w:after="40"/>
            </w:pPr>
            <w:r/>
            <w:r>
              <w:rPr>
                <w:rFonts w:ascii="Calibri" w:hAnsi="Calibri"/>
                <w:b w:val="0"/>
                <w:color w:val="14171C"/>
                <w:sz w:val="15"/>
              </w:rPr>
              <w:t>deposit ETH, mint shares, redeem against free liquidity</w:t>
            </w:r>
          </w:p>
        </w:tc>
      </w:tr>
      <w:tr>
        <w:tc>
          <w:tcPr>
            <w:tcW w:type="dxa" w:w="4975"/>
          </w:tcPr>
          <w:p>
            <w:pPr>
              <w:spacing w:before="40" w:after="40"/>
            </w:pPr>
            <w:r/>
            <w:r>
              <w:rPr>
                <w:rFonts w:ascii="Calibri" w:hAnsi="Calibri"/>
                <w:b w:val="0"/>
                <w:color w:val="14171C"/>
                <w:sz w:val="15"/>
              </w:rPr>
              <w:t>Open a loan</w:t>
            </w:r>
          </w:p>
        </w:tc>
        <w:tc>
          <w:tcPr>
            <w:tcW w:type="dxa" w:w="4975"/>
          </w:tcPr>
          <w:p>
            <w:pPr>
              <w:spacing w:before="40" w:after="40"/>
            </w:pPr>
            <w:r/>
            <w:r>
              <w:rPr>
                <w:rFonts w:ascii="Calibri" w:hAnsi="Calibri"/>
                <w:b w:val="0"/>
                <w:color w:val="14171C"/>
                <w:sz w:val="15"/>
              </w:rPr>
              <w:t>principal, rate, term and collateral with a live quote and validation</w:t>
            </w:r>
          </w:p>
        </w:tc>
      </w:tr>
      <w:tr>
        <w:tc>
          <w:tcPr>
            <w:tcW w:type="dxa" w:w="4975"/>
            <w:shd w:val="clear" w:color="auto" w:fill="F7F9FA"/>
          </w:tcPr>
          <w:p>
            <w:pPr>
              <w:spacing w:before="40" w:after="40"/>
            </w:pPr>
            <w:r/>
            <w:r>
              <w:rPr>
                <w:rFonts w:ascii="Calibri" w:hAnsi="Calibri"/>
                <w:b w:val="0"/>
                <w:color w:val="14171C"/>
                <w:sz w:val="15"/>
              </w:rPr>
              <w:t>Loan book</w:t>
            </w:r>
          </w:p>
        </w:tc>
        <w:tc>
          <w:tcPr>
            <w:tcW w:type="dxa" w:w="4975"/>
            <w:shd w:val="clear" w:color="auto" w:fill="F7F9FA"/>
          </w:tcPr>
          <w:p>
            <w:pPr>
              <w:spacing w:before="40" w:after="40"/>
            </w:pPr>
            <w:r/>
            <w:r>
              <w:rPr>
                <w:rFonts w:ascii="Calibri" w:hAnsi="Calibri"/>
                <w:b w:val="0"/>
                <w:color w:val="14171C"/>
                <w:sz w:val="15"/>
              </w:rPr>
              <w:t>every loan with status, live amount due and the actions its state allows</w:t>
            </w:r>
          </w:p>
        </w:tc>
      </w:tr>
      <w:tr>
        <w:tc>
          <w:tcPr>
            <w:tcW w:type="dxa" w:w="4975"/>
          </w:tcPr>
          <w:p>
            <w:pPr>
              <w:spacing w:before="40" w:after="40"/>
            </w:pPr>
            <w:r/>
            <w:r>
              <w:rPr>
                <w:rFonts w:ascii="Calibri" w:hAnsi="Calibri"/>
                <w:b w:val="0"/>
                <w:color w:val="14171C"/>
                <w:sz w:val="15"/>
              </w:rPr>
              <w:t>Position and history</w:t>
            </w:r>
          </w:p>
        </w:tc>
        <w:tc>
          <w:tcPr>
            <w:tcW w:type="dxa" w:w="4975"/>
          </w:tcPr>
          <w:p>
            <w:pPr>
              <w:spacing w:before="40" w:after="40"/>
            </w:pPr>
            <w:r/>
            <w:r>
              <w:rPr>
                <w:rFonts w:ascii="Calibri" w:hAnsi="Calibri"/>
                <w:b w:val="0"/>
                <w:color w:val="14171C"/>
                <w:sz w:val="15"/>
              </w:rPr>
              <w:t>the connected account's claims, plus the indexed transaction log</w:t>
            </w:r>
          </w:p>
        </w:tc>
      </w:tr>
      <w:tr>
        <w:tc>
          <w:tcPr>
            <w:tcW w:type="dxa" w:w="4975"/>
            <w:shd w:val="clear" w:color="auto" w:fill="F7F9FA"/>
          </w:tcPr>
          <w:p>
            <w:pPr>
              <w:spacing w:before="40" w:after="40"/>
            </w:pPr>
            <w:r/>
            <w:r>
              <w:rPr>
                <w:rFonts w:ascii="Calibri" w:hAnsi="Calibri"/>
                <w:b w:val="0"/>
                <w:color w:val="14171C"/>
                <w:sz w:val="15"/>
              </w:rPr>
              <w:t>Protocol parameters</w:t>
            </w:r>
          </w:p>
        </w:tc>
        <w:tc>
          <w:tcPr>
            <w:tcW w:type="dxa" w:w="4975"/>
            <w:shd w:val="clear" w:color="auto" w:fill="F7F9FA"/>
          </w:tcPr>
          <w:p>
            <w:pPr>
              <w:spacing w:before="40" w:after="40"/>
            </w:pPr>
            <w:r/>
            <w:r>
              <w:rPr>
                <w:rFonts w:ascii="Calibri" w:hAnsi="Calibri"/>
                <w:b w:val="0"/>
                <w:color w:val="14171C"/>
                <w:sz w:val="15"/>
              </w:rPr>
              <w:t>owner-only parameter, pause and treasury controls, disabled for others</w:t>
            </w:r>
          </w:p>
        </w:tc>
      </w:tr>
    </w:tbl>
    <w:p>
      <w:pPr>
        <w:spacing w:after="80"/>
      </w:pPr>
    </w:p>
    <w:p>
      <w:pPr>
        <w:pStyle w:val="Heading3"/>
      </w:pPr>
      <w:r>
        <w:t>7.1 Interface evidence</w:t>
      </w:r>
    </w:p>
    <w:p>
      <w:r>
        <w:rPr>
          <w:rFonts w:ascii="Calibri" w:hAnsi="Calibri"/>
          <w:color w:val="14171C"/>
          <w:sz w:val="21"/>
        </w:rPr>
        <w:t>The client runs in three modes — offline demo, local chain, Sepolia — with no build step. The captures below are the real page rendered at three widths by a headless engine (</w:t>
      </w:r>
      <w:r>
        <w:rPr>
          <w:rFonts w:ascii="Consolas" w:hAnsi="Consolas"/>
          <w:color w:val="0B5F53"/>
          <w:sz w:val="19"/>
        </w:rPr>
        <w:t>scripts/capture-ui.ps1</w:t>
      </w:r>
      <w:r>
        <w:rPr>
          <w:rFonts w:ascii="Calibri" w:hAnsi="Calibri"/>
          <w:color w:val="14171C"/>
          <w:sz w:val="21"/>
        </w:rPr>
        <w:t>); the demo ledger is populated so the loan book shows every state at once. Layout was verified by measuring the rendered page (</w:t>
      </w:r>
      <w:r>
        <w:rPr>
          <w:rFonts w:ascii="Consolas" w:hAnsi="Consolas"/>
          <w:color w:val="0B5F53"/>
          <w:sz w:val="19"/>
        </w:rPr>
        <w:t>scripts/measure-ui.js</w:t>
      </w:r>
      <w:r>
        <w:rPr>
          <w:rFonts w:ascii="Calibri" w:hAnsi="Calibri"/>
          <w:color w:val="14171C"/>
          <w:sz w:val="21"/>
        </w:rPr>
        <w:t>), which is how a 34.6 px status column was caught rendering one letter per line.</w:t>
      </w:r>
    </w:p>
    <w:p>
      <w:pPr>
        <w:spacing w:after="40"/>
        <w:jc w:val="center"/>
      </w:pPr>
      <w:r>
        <w:drawing>
          <wp:inline xmlns:a="http://schemas.openxmlformats.org/drawingml/2006/main" xmlns:pic="http://schemas.openxmlformats.org/drawingml/2006/picture">
            <wp:extent cx="2984601" cy="2331720"/>
            <wp:docPr id="1" name="Picture 1"/>
            <wp:cNvGraphicFramePr>
              <a:graphicFrameLocks noChangeAspect="1"/>
            </wp:cNvGraphicFramePr>
            <a:graphic>
              <a:graphicData uri="http://schemas.openxmlformats.org/drawingml/2006/picture">
                <pic:pic>
                  <pic:nvPicPr>
                    <pic:cNvPr id="0" name="ui-1920.png"/>
                    <pic:cNvPicPr/>
                  </pic:nvPicPr>
                  <pic:blipFill>
                    <a:blip r:embed="rId9"/>
                    <a:stretch>
                      <a:fillRect/>
                    </a:stretch>
                  </pic:blipFill>
                  <pic:spPr>
                    <a:xfrm>
                      <a:off x="0" y="0"/>
                      <a:ext cx="2984601" cy="2331720"/>
                    </a:xfrm>
                    <a:prstGeom prst="rect"/>
                  </pic:spPr>
                </pic:pic>
              </a:graphicData>
            </a:graphic>
          </wp:inline>
        </w:drawing>
      </w:r>
    </w:p>
    <w:p>
      <w:pPr>
        <w:spacing w:after="100"/>
        <w:jc w:val="center"/>
      </w:pPr>
      <w:r>
        <w:rPr>
          <w:rFonts w:ascii="Calibri" w:hAnsi="Calibri"/>
          <w:i/>
          <w:color w:val="5A6372"/>
          <w:sz w:val="16"/>
        </w:rPr>
        <w:t>MicroLend dashboard at 1920 px</w:t>
      </w:r>
    </w:p>
    <w:p>
      <w:r>
        <w:rPr>
          <w:rFonts w:ascii="Calibri" w:hAnsi="Calibri"/>
          <w:color w:val="14171C"/>
          <w:sz w:val="21"/>
        </w:rPr>
        <w:t>*The full dashboard at 1920 px: pool instrument, supply and borrow panels, the loan book with all five loan states, position statement and the indexed transaction history.*</w:t>
      </w:r>
    </w:p>
    <w:tbl>
      <w:tblPr>
        <w:tblStyle w:val="TableGrid"/>
        <w:tblW w:type="auto" w:w="0"/>
        <w:jc w:val="center"/>
        <w:tblLook w:firstColumn="1" w:firstRow="1" w:lastColumn="0" w:lastRow="0" w:noHBand="0" w:noVBand="1" w:val="04A0"/>
      </w:tblPr>
      <w:tblGrid>
        <w:gridCol w:w="3317"/>
        <w:gridCol w:w="3317"/>
        <w:gridCol w:w="3317"/>
      </w:tblGrid>
      <w:tr>
        <w:tc>
          <w:tcPr>
            <w:tcW w:type="dxa" w:w="3317"/>
            <w:shd w:val="clear" w:color="auto" w:fill="E8F1EF"/>
          </w:tcPr>
          <w:p>
            <w:pPr>
              <w:spacing w:before="40" w:after="40"/>
            </w:pPr>
            <w:r/>
            <w:r>
              <w:rPr>
                <w:rFonts w:ascii="Calibri" w:hAnsi="Calibri"/>
                <w:b/>
                <w:color w:val="14171C"/>
                <w:sz w:val="15"/>
              </w:rPr>
              <w:t>Capture</w:t>
            </w:r>
          </w:p>
        </w:tc>
        <w:tc>
          <w:tcPr>
            <w:tcW w:type="dxa" w:w="3317"/>
            <w:shd w:val="clear" w:color="auto" w:fill="E8F1EF"/>
          </w:tcPr>
          <w:p>
            <w:pPr>
              <w:spacing w:before="40" w:after="40"/>
            </w:pPr>
            <w:r/>
            <w:r>
              <w:rPr>
                <w:rFonts w:ascii="Calibri" w:hAnsi="Calibri"/>
                <w:b/>
                <w:color w:val="14171C"/>
                <w:sz w:val="15"/>
              </w:rPr>
              <w:t>File</w:t>
            </w:r>
          </w:p>
        </w:tc>
        <w:tc>
          <w:tcPr>
            <w:tcW w:type="dxa" w:w="3317"/>
            <w:shd w:val="clear" w:color="auto" w:fill="E8F1EF"/>
          </w:tcPr>
          <w:p>
            <w:pPr>
              <w:spacing w:before="40" w:after="40"/>
            </w:pPr>
            <w:r/>
            <w:r>
              <w:rPr>
                <w:rFonts w:ascii="Calibri" w:hAnsi="Calibri"/>
                <w:b/>
                <w:color w:val="14171C"/>
                <w:sz w:val="15"/>
              </w:rPr>
              <w:t>Shows</w:t>
            </w:r>
          </w:p>
        </w:tc>
      </w:tr>
      <w:tr>
        <w:tc>
          <w:tcPr>
            <w:tcW w:type="dxa" w:w="3317"/>
          </w:tcPr>
          <w:p>
            <w:pPr>
              <w:spacing w:before="40" w:after="40"/>
            </w:pPr>
            <w:r/>
            <w:r>
              <w:rPr>
                <w:rFonts w:ascii="Calibri" w:hAnsi="Calibri"/>
                <w:b w:val="0"/>
                <w:color w:val="14171C"/>
                <w:sz w:val="15"/>
              </w:rPr>
              <w:t>Dashboard, wide</w:t>
            </w:r>
          </w:p>
        </w:tc>
        <w:tc>
          <w:tcPr>
            <w:tcW w:type="dxa" w:w="3317"/>
          </w:tcPr>
          <w:p>
            <w:pPr>
              <w:spacing w:before="40" w:after="40"/>
            </w:pPr>
            <w:r/>
            <w:r>
              <w:rPr>
                <w:rFonts w:ascii="Calibri" w:hAnsi="Calibri"/>
                <w:b w:val="0"/>
                <w:color w:val="14171C"/>
                <w:sz w:val="15"/>
              </w:rPr>
              <w:t>`frontend/screenshots/ui-1920.png`</w:t>
            </w:r>
          </w:p>
        </w:tc>
        <w:tc>
          <w:tcPr>
            <w:tcW w:type="dxa" w:w="3317"/>
          </w:tcPr>
          <w:p>
            <w:pPr>
              <w:spacing w:before="40" w:after="40"/>
            </w:pPr>
            <w:r/>
            <w:r>
              <w:rPr>
                <w:rFonts w:ascii="Calibri" w:hAnsi="Calibri"/>
                <w:b w:val="0"/>
                <w:color w:val="14171C"/>
                <w:sz w:val="15"/>
              </w:rPr>
              <w:t>complete book, KPI strip, both forms, history</w:t>
            </w:r>
          </w:p>
        </w:tc>
      </w:tr>
      <w:tr>
        <w:tc>
          <w:tcPr>
            <w:tcW w:type="dxa" w:w="3317"/>
            <w:shd w:val="clear" w:color="auto" w:fill="F7F9FA"/>
          </w:tcPr>
          <w:p>
            <w:pPr>
              <w:spacing w:before="40" w:after="40"/>
            </w:pPr>
            <w:r/>
            <w:r>
              <w:rPr>
                <w:rFonts w:ascii="Calibri" w:hAnsi="Calibri"/>
                <w:b w:val="0"/>
                <w:color w:val="14171C"/>
                <w:sz w:val="15"/>
              </w:rPr>
              <w:t>Dashboard, laptop</w:t>
            </w:r>
          </w:p>
        </w:tc>
        <w:tc>
          <w:tcPr>
            <w:tcW w:type="dxa" w:w="3317"/>
            <w:shd w:val="clear" w:color="auto" w:fill="F7F9FA"/>
          </w:tcPr>
          <w:p>
            <w:pPr>
              <w:spacing w:before="40" w:after="40"/>
            </w:pPr>
            <w:r/>
            <w:r>
              <w:rPr>
                <w:rFonts w:ascii="Calibri" w:hAnsi="Calibri"/>
                <w:b w:val="0"/>
                <w:color w:val="14171C"/>
                <w:sz w:val="15"/>
              </w:rPr>
              <w:t>`frontend/screenshots/ui-1440.png`</w:t>
            </w:r>
          </w:p>
        </w:tc>
        <w:tc>
          <w:tcPr>
            <w:tcW w:type="dxa" w:w="3317"/>
            <w:shd w:val="clear" w:color="auto" w:fill="F7F9FA"/>
          </w:tcPr>
          <w:p>
            <w:pPr>
              <w:spacing w:before="40" w:after="40"/>
            </w:pPr>
            <w:r/>
            <w:r>
              <w:rPr>
                <w:rFonts w:ascii="Calibri" w:hAnsi="Calibri"/>
                <w:b w:val="0"/>
                <w:color w:val="14171C"/>
                <w:sz w:val="15"/>
              </w:rPr>
              <w:t>the same content at 1440 px, one viewport</w:t>
            </w:r>
          </w:p>
        </w:tc>
      </w:tr>
      <w:tr>
        <w:tc>
          <w:tcPr>
            <w:tcW w:type="dxa" w:w="3317"/>
          </w:tcPr>
          <w:p>
            <w:pPr>
              <w:spacing w:before="40" w:after="40"/>
            </w:pPr>
            <w:r/>
            <w:r>
              <w:rPr>
                <w:rFonts w:ascii="Calibri" w:hAnsi="Calibri"/>
                <w:b w:val="0"/>
                <w:color w:val="14171C"/>
                <w:sz w:val="15"/>
              </w:rPr>
              <w:t>Dashboard, narrow</w:t>
            </w:r>
          </w:p>
        </w:tc>
        <w:tc>
          <w:tcPr>
            <w:tcW w:type="dxa" w:w="3317"/>
          </w:tcPr>
          <w:p>
            <w:pPr>
              <w:spacing w:before="40" w:after="40"/>
            </w:pPr>
            <w:r/>
            <w:r>
              <w:rPr>
                <w:rFonts w:ascii="Calibri" w:hAnsi="Calibri"/>
                <w:b w:val="0"/>
                <w:color w:val="14171C"/>
                <w:sz w:val="15"/>
              </w:rPr>
              <w:t>`frontend/screenshots/ui-1280.png`</w:t>
            </w:r>
          </w:p>
        </w:tc>
        <w:tc>
          <w:tcPr>
            <w:tcW w:type="dxa" w:w="3317"/>
          </w:tcPr>
          <w:p>
            <w:pPr>
              <w:spacing w:before="40" w:after="40"/>
            </w:pPr>
            <w:r/>
            <w:r>
              <w:rPr>
                <w:rFonts w:ascii="Calibri" w:hAnsi="Calibri"/>
                <w:b w:val="0"/>
                <w:color w:val="14171C"/>
                <w:sz w:val="15"/>
              </w:rPr>
              <w:t>responsive behaviour at 1280 px</w:t>
            </w:r>
          </w:p>
        </w:tc>
      </w:tr>
    </w:tbl>
    <w:p>
      <w:pPr>
        <w:spacing w:after="80"/>
      </w:pPr>
    </w:p>
    <w:p>
      <w:pPr>
        <w:pStyle w:val="Heading2"/>
      </w:pPr>
      <w:r>
        <w:t>8. Implementation</w:t>
      </w:r>
    </w:p>
    <w:p>
      <w:r>
        <w:rPr>
          <w:rFonts w:ascii="Calibri" w:hAnsi="Calibri"/>
          <w:color w:val="14171C"/>
          <w:sz w:val="21"/>
        </w:rPr>
        <w:t xml:space="preserve">The implementation is one 707-line contract with no imports (61 ABI functions, 14 events, 25 custom errors), a 14-module Flask service exposing 19 routes over a SQLite index, a 16-file client with two test suites, 13 contract test suites, and 8 build/verify scripts. The full inventory and line counts are in </w:t>
      </w:r>
      <w:r>
        <w:rPr>
          <w:rFonts w:ascii="Consolas" w:hAnsi="Consolas"/>
          <w:color w:val="0B5F53"/>
          <w:sz w:val="19"/>
        </w:rPr>
        <w:t>README.md</w:t>
      </w:r>
      <w:r>
        <w:rPr>
          <w:rFonts w:ascii="Calibri" w:hAnsi="Calibri"/>
          <w:color w:val="14171C"/>
          <w:sz w:val="21"/>
        </w:rPr>
        <w:t>.</w:t>
      </w:r>
    </w:p>
    <w:p>
      <w:r>
        <w:rPr>
          <w:rFonts w:ascii="Calibri" w:hAnsi="Calibri"/>
          <w:color w:val="14171C"/>
          <w:sz w:val="21"/>
        </w:rPr>
        <w:t>Build and verification commands:</w:t>
      </w:r>
    </w:p>
    <w:tbl>
      <w:tblPr>
        <w:tblW w:type="auto" w:w="0"/>
        <w:jc w:val="center"/>
        <w:tblLook w:firstColumn="1" w:firstRow="1" w:lastColumn="0" w:lastRow="0" w:noHBand="0" w:noVBand="1" w:val="04A0"/>
      </w:tblPr>
      <w:tblGrid>
        <w:gridCol w:w="9951"/>
      </w:tblGrid>
      <w:tr>
        <w:tc>
          <w:tcPr>
            <w:tcW w:type="dxa" w:w="9951"/>
            <w:shd w:val="clear" w:color="auto" w:fill="F4F6F8"/>
          </w:tcPr>
          <w:p>
            <w:pPr>
              <w:spacing w:before="0" w:after="0" w:line="240" w:lineRule="auto"/>
            </w:pPr>
            <w:r/>
            <w:r>
              <w:rPr>
                <w:rFonts w:ascii="Consolas" w:hAnsi="Consolas"/>
                <w:color w:val="14171C"/>
                <w:sz w:val="14"/>
              </w:rPr>
              <w:t>node scripts/compile.js        # solc 0.8.24 (optimizer runs 200, shanghai) -&gt; artifacts/</w:t>
            </w:r>
          </w:p>
          <w:p>
            <w:pPr>
              <w:spacing w:before="0" w:after="0" w:line="240" w:lineRule="auto"/>
            </w:pPr>
            <w:r>
              <w:rPr>
                <w:rFonts w:ascii="Consolas" w:hAnsi="Consolas"/>
                <w:color w:val="14171C"/>
                <w:sz w:val="14"/>
              </w:rPr>
              <w:t>node test/run-tests.js         # 811 assertions on an in-process ganache chain</w:t>
            </w:r>
          </w:p>
          <w:p>
            <w:pPr>
              <w:spacing w:before="0" w:after="0" w:line="240" w:lineRule="auto"/>
            </w:pPr>
            <w:r>
              <w:rPr>
                <w:rFonts w:ascii="Consolas" w:hAnsi="Consolas"/>
                <w:color w:val="14171C"/>
                <w:sz w:val="14"/>
              </w:rPr>
              <w:t>python -m pytest backend/tests -q     # 122 backend tests</w:t>
            </w:r>
          </w:p>
          <w:p>
            <w:pPr>
              <w:spacing w:before="0" w:after="0" w:line="240" w:lineRule="auto"/>
            </w:pPr>
            <w:r>
              <w:rPr>
                <w:rFonts w:ascii="Consolas" w:hAnsi="Consolas"/>
                <w:color w:val="14171C"/>
                <w:sz w:val="14"/>
              </w:rPr>
              <w:t>node scripts/deploy-local.js   # local chain + seeded pool + deployment.local.json</w:t>
            </w:r>
          </w:p>
          <w:p>
            <w:pPr>
              <w:spacing w:before="0" w:after="0" w:line="240" w:lineRule="auto"/>
            </w:pPr>
            <w:r>
              <w:rPr>
                <w:rFonts w:ascii="Consolas" w:hAnsi="Consolas"/>
                <w:color w:val="14171C"/>
                <w:sz w:val="14"/>
              </w:rPr>
              <w:t>node scripts/deploy.js         # Sepolia deploy, then initialize() in the same run</w:t>
            </w:r>
          </w:p>
        </w:tc>
      </w:tr>
    </w:tbl>
    <w:p>
      <w:pPr>
        <w:spacing w:after="80"/>
      </w:pPr>
    </w:p>
    <w:p>
      <w:r>
        <w:rPr>
          <w:rFonts w:ascii="Calibri" w:hAnsi="Calibri"/>
          <w:color w:val="14171C"/>
          <w:sz w:val="21"/>
        </w:rPr>
        <w:t xml:space="preserve">The contract compiles to 12 471 bytes of creation bytecode with no external dependency, so the deployed artifact is reproducible from the source hash recorded in </w:t>
      </w:r>
      <w:r>
        <w:rPr>
          <w:rFonts w:ascii="Consolas" w:hAnsi="Consolas"/>
          <w:color w:val="0B5F53"/>
          <w:sz w:val="19"/>
        </w:rPr>
        <w:t>docs/TESTING.md</w:t>
      </w:r>
      <w:r>
        <w:rPr>
          <w:rFonts w:ascii="Calibri" w:hAnsi="Calibri"/>
          <w:color w:val="14171C"/>
          <w:sz w:val="21"/>
        </w:rPr>
        <w:t>.</w:t>
      </w:r>
    </w:p>
    <w:p>
      <w:pPr>
        <w:pStyle w:val="Heading3"/>
      </w:pPr>
      <w:r>
        <w:t>8.1 Sepolia deployment</w:t>
      </w:r>
    </w:p>
    <w:p>
      <w:r>
        <w:rPr>
          <w:rFonts w:ascii="Calibri" w:hAnsi="Calibri"/>
          <w:color w:val="14171C"/>
          <w:sz w:val="21"/>
        </w:rPr>
        <w:t xml:space="preserve">The contract is live on the Ethereum Sepolia testnet. </w:t>
      </w:r>
      <w:r>
        <w:rPr>
          <w:rFonts w:ascii="Consolas" w:hAnsi="Consolas"/>
          <w:color w:val="0B5F53"/>
          <w:sz w:val="19"/>
        </w:rPr>
        <w:t>scripts/deploy.js</w:t>
      </w:r>
      <w:r>
        <w:rPr>
          <w:rFonts w:ascii="Calibri" w:hAnsi="Calibri"/>
          <w:color w:val="14171C"/>
          <w:sz w:val="21"/>
        </w:rPr>
        <w:t xml:space="preserve"> validated the environment, refused a non-Sepolia chain, checked the deployer balance, deployed the contract and called </w:t>
      </w:r>
      <w:r>
        <w:rPr>
          <w:rFonts w:ascii="Consolas" w:hAnsi="Consolas"/>
          <w:color w:val="0B5F53"/>
          <w:sz w:val="19"/>
        </w:rPr>
        <w:t>initialize(treasury, owner)</w:t>
      </w:r>
      <w:r>
        <w:rPr>
          <w:rFonts w:ascii="Calibri" w:hAnsi="Calibri"/>
          <w:color w:val="14171C"/>
          <w:sz w:val="21"/>
        </w:rPr>
        <w:t xml:space="preserve"> in the following transaction.</w:t>
      </w:r>
    </w:p>
    <w:tbl>
      <w:tblPr>
        <w:tblStyle w:val="TableGrid"/>
        <w:tblW w:type="auto" w:w="0"/>
        <w:jc w:val="center"/>
        <w:tblLook w:firstColumn="1" w:firstRow="1" w:lastColumn="0" w:lastRow="0" w:noHBand="0" w:noVBand="1" w:val="04A0"/>
      </w:tblPr>
      <w:tblGrid>
        <w:gridCol w:w="4975"/>
        <w:gridCol w:w="4975"/>
      </w:tblGrid>
      <w:tr>
        <w:tc>
          <w:tcPr>
            <w:tcW w:type="dxa" w:w="4975"/>
            <w:shd w:val="clear" w:color="auto" w:fill="E8F1EF"/>
          </w:tcPr>
          <w:p>
            <w:pPr>
              <w:spacing w:before="40" w:after="40"/>
            </w:pPr>
            <w:r/>
            <w:r>
              <w:rPr>
                <w:rFonts w:ascii="Calibri" w:hAnsi="Calibri"/>
                <w:b/>
                <w:color w:val="14171C"/>
                <w:sz w:val="15"/>
              </w:rPr>
              <w:t>Field</w:t>
            </w:r>
          </w:p>
        </w:tc>
        <w:tc>
          <w:tcPr>
            <w:tcW w:type="dxa" w:w="4975"/>
            <w:shd w:val="clear" w:color="auto" w:fill="E8F1EF"/>
          </w:tcPr>
          <w:p>
            <w:pPr>
              <w:spacing w:before="40" w:after="40"/>
            </w:pPr>
            <w:r/>
            <w:r>
              <w:rPr>
                <w:rFonts w:ascii="Calibri" w:hAnsi="Calibri"/>
                <w:b/>
                <w:color w:val="14171C"/>
                <w:sz w:val="15"/>
              </w:rPr>
              <w:t>Value</w:t>
            </w:r>
          </w:p>
        </w:tc>
      </w:tr>
      <w:tr>
        <w:tc>
          <w:tcPr>
            <w:tcW w:type="dxa" w:w="4975"/>
          </w:tcPr>
          <w:p>
            <w:pPr>
              <w:spacing w:before="40" w:after="40"/>
            </w:pPr>
            <w:r/>
            <w:r>
              <w:rPr>
                <w:rFonts w:ascii="Calibri" w:hAnsi="Calibri"/>
                <w:b w:val="0"/>
                <w:color w:val="14171C"/>
                <w:sz w:val="15"/>
              </w:rPr>
              <w:t>Contract</w:t>
            </w:r>
          </w:p>
        </w:tc>
        <w:tc>
          <w:tcPr>
            <w:tcW w:type="dxa" w:w="4975"/>
          </w:tcPr>
          <w:p>
            <w:pPr>
              <w:spacing w:before="40" w:after="40"/>
            </w:pPr>
            <w:r/>
            <w:r>
              <w:rPr>
                <w:rFonts w:ascii="Calibri" w:hAnsi="Calibri"/>
                <w:b w:val="0"/>
                <w:color w:val="14171C"/>
                <w:sz w:val="15"/>
              </w:rPr>
              <w:t>`MicroLendPool`</w:t>
            </w:r>
          </w:p>
        </w:tc>
      </w:tr>
      <w:tr>
        <w:tc>
          <w:tcPr>
            <w:tcW w:type="dxa" w:w="4975"/>
            <w:shd w:val="clear" w:color="auto" w:fill="F7F9FA"/>
          </w:tcPr>
          <w:p>
            <w:pPr>
              <w:spacing w:before="40" w:after="40"/>
            </w:pPr>
            <w:r/>
            <w:r>
              <w:rPr>
                <w:rFonts w:ascii="Calibri" w:hAnsi="Calibri"/>
                <w:b w:val="0"/>
                <w:color w:val="14171C"/>
                <w:sz w:val="15"/>
              </w:rPr>
              <w:t>Address</w:t>
            </w:r>
          </w:p>
        </w:tc>
        <w:tc>
          <w:tcPr>
            <w:tcW w:type="dxa" w:w="4975"/>
            <w:shd w:val="clear" w:color="auto" w:fill="F7F9FA"/>
          </w:tcPr>
          <w:p>
            <w:pPr>
              <w:spacing w:before="40" w:after="40"/>
            </w:pPr>
            <w:r/>
            <w:r>
              <w:rPr>
                <w:rFonts w:ascii="Calibri" w:hAnsi="Calibri"/>
                <w:b w:val="0"/>
                <w:color w:val="14171C"/>
                <w:sz w:val="15"/>
              </w:rPr>
              <w:t>[`0xECDaCA02f7646A8182A57c6520318D0FebC8bDCA`](https://sepolia.etherscan.io/address/0xECDaCA02f7646A8182A57c6520318D0FebC8bDCA)</w:t>
            </w:r>
          </w:p>
        </w:tc>
      </w:tr>
      <w:tr>
        <w:tc>
          <w:tcPr>
            <w:tcW w:type="dxa" w:w="4975"/>
          </w:tcPr>
          <w:p>
            <w:pPr>
              <w:spacing w:before="40" w:after="40"/>
            </w:pPr>
            <w:r/>
            <w:r>
              <w:rPr>
                <w:rFonts w:ascii="Calibri" w:hAnsi="Calibri"/>
                <w:b w:val="0"/>
                <w:color w:val="14171C"/>
                <w:sz w:val="15"/>
              </w:rPr>
              <w:t>Deploy transaction</w:t>
            </w:r>
          </w:p>
        </w:tc>
        <w:tc>
          <w:tcPr>
            <w:tcW w:type="dxa" w:w="4975"/>
          </w:tcPr>
          <w:p>
            <w:pPr>
              <w:spacing w:before="40" w:after="40"/>
            </w:pPr>
            <w:r/>
            <w:r>
              <w:rPr>
                <w:rFonts w:ascii="Calibri" w:hAnsi="Calibri"/>
                <w:b w:val="0"/>
                <w:color w:val="14171C"/>
                <w:sz w:val="15"/>
              </w:rPr>
              <w:t>[`0x759173a5ac316e187b…`](https://sepolia.etherscan.io/tx/0x759173a5ac316e187b6c0a62fe27a95353825aaaf68ff2c84787b8f733c15d21) — block 11919472, 20 438 889 gas</w:t>
            </w:r>
          </w:p>
        </w:tc>
      </w:tr>
      <w:tr>
        <w:tc>
          <w:tcPr>
            <w:tcW w:type="dxa" w:w="4975"/>
            <w:shd w:val="clear" w:color="auto" w:fill="F7F9FA"/>
          </w:tcPr>
          <w:p>
            <w:pPr>
              <w:spacing w:before="40" w:after="40"/>
            </w:pPr>
            <w:r/>
            <w:r>
              <w:rPr>
                <w:rFonts w:ascii="Calibri" w:hAnsi="Calibri"/>
                <w:b w:val="0"/>
                <w:color w:val="14171C"/>
                <w:sz w:val="15"/>
              </w:rPr>
              <w:t>`initialize` transaction</w:t>
            </w:r>
          </w:p>
        </w:tc>
        <w:tc>
          <w:tcPr>
            <w:tcW w:type="dxa" w:w="4975"/>
            <w:shd w:val="clear" w:color="auto" w:fill="F7F9FA"/>
          </w:tcPr>
          <w:p>
            <w:pPr>
              <w:spacing w:before="40" w:after="40"/>
            </w:pPr>
            <w:r/>
            <w:r>
              <w:rPr>
                <w:rFonts w:ascii="Calibri" w:hAnsi="Calibri"/>
                <w:b w:val="0"/>
                <w:color w:val="14171C"/>
                <w:sz w:val="15"/>
              </w:rPr>
              <w:t>[`0x34df592fde85eccebb…`](https://sepolia.etherscan.io/tx/0x34df592fde85eccebb7e3b106d2fbedff6d3b54ac74c6d55a0b190f4b6f13d89)</w:t>
            </w:r>
          </w:p>
        </w:tc>
      </w:tr>
      <w:tr>
        <w:tc>
          <w:tcPr>
            <w:tcW w:type="dxa" w:w="4975"/>
          </w:tcPr>
          <w:p>
            <w:pPr>
              <w:spacing w:before="40" w:after="40"/>
            </w:pPr>
            <w:r/>
            <w:r>
              <w:rPr>
                <w:rFonts w:ascii="Calibri" w:hAnsi="Calibri"/>
                <w:b w:val="0"/>
                <w:color w:val="14171C"/>
                <w:sz w:val="15"/>
              </w:rPr>
              <w:t>Deployer / owner / treasury</w:t>
            </w:r>
          </w:p>
        </w:tc>
        <w:tc>
          <w:tcPr>
            <w:tcW w:type="dxa" w:w="4975"/>
          </w:tcPr>
          <w:p>
            <w:pPr>
              <w:spacing w:before="40" w:after="40"/>
            </w:pPr>
            <w:r/>
            <w:r>
              <w:rPr>
                <w:rFonts w:ascii="Calibri" w:hAnsi="Calibri"/>
                <w:b w:val="0"/>
                <w:color w:val="14171C"/>
                <w:sz w:val="15"/>
              </w:rPr>
              <w:t>`0x4a1576ec3d221D65E4645aec7D9929D7C29429f4`</w:t>
            </w:r>
          </w:p>
        </w:tc>
      </w:tr>
      <w:tr>
        <w:tc>
          <w:tcPr>
            <w:tcW w:type="dxa" w:w="4975"/>
            <w:shd w:val="clear" w:color="auto" w:fill="F7F9FA"/>
          </w:tcPr>
          <w:p>
            <w:pPr>
              <w:spacing w:before="40" w:after="40"/>
            </w:pPr>
            <w:r/>
            <w:r>
              <w:rPr>
                <w:rFonts w:ascii="Calibri" w:hAnsi="Calibri"/>
                <w:b w:val="0"/>
                <w:color w:val="14171C"/>
                <w:sz w:val="15"/>
              </w:rPr>
              <w:t>Source hash</w:t>
            </w:r>
          </w:p>
        </w:tc>
        <w:tc>
          <w:tcPr>
            <w:tcW w:type="dxa" w:w="4975"/>
            <w:shd w:val="clear" w:color="auto" w:fill="F7F9FA"/>
          </w:tcPr>
          <w:p>
            <w:pPr>
              <w:spacing w:before="40" w:after="40"/>
            </w:pPr>
            <w:r/>
            <w:r>
              <w:rPr>
                <w:rFonts w:ascii="Calibri" w:hAnsi="Calibri"/>
                <w:b w:val="0"/>
                <w:color w:val="14171C"/>
                <w:sz w:val="15"/>
              </w:rPr>
              <w:t>`e26e720a9c2eb75175679abb4a9f71cb403cfd466d3cd99fe547df8131964657`</w:t>
            </w:r>
          </w:p>
        </w:tc>
      </w:tr>
      <w:tr>
        <w:tc>
          <w:tcPr>
            <w:tcW w:type="dxa" w:w="4975"/>
          </w:tcPr>
          <w:p>
            <w:pPr>
              <w:spacing w:before="40" w:after="40"/>
            </w:pPr>
            <w:r/>
            <w:r>
              <w:rPr>
                <w:rFonts w:ascii="Calibri" w:hAnsi="Calibri"/>
                <w:b w:val="0"/>
                <w:color w:val="14171C"/>
                <w:sz w:val="15"/>
              </w:rPr>
              <w:t>On-chain check</w:t>
            </w:r>
          </w:p>
        </w:tc>
        <w:tc>
          <w:tcPr>
            <w:tcW w:type="dxa" w:w="4975"/>
          </w:tcPr>
          <w:p>
            <w:pPr>
              <w:spacing w:before="40" w:after="40"/>
            </w:pPr>
            <w:r/>
            <w:r>
              <w:rPr>
                <w:rFonts w:ascii="Calibri" w:hAnsi="Calibri"/>
                <w:b w:val="0"/>
                <w:color w:val="14171C"/>
                <w:sz w:val="15"/>
              </w:rPr>
              <w:t>bytecode 12 370 bytes; `initialized() == true`; `minCollateralBps == 10000`; `feeBps == 1000`; `penaltyBps == 500`; `loanCount == 0`</w:t>
            </w:r>
          </w:p>
        </w:tc>
      </w:tr>
    </w:tbl>
    <w:p>
      <w:pPr>
        <w:spacing w:after="80"/>
      </w:pPr>
    </w:p>
    <w:p>
      <w:pPr>
        <w:spacing w:after="40"/>
        <w:jc w:val="center"/>
      </w:pPr>
      <w:r>
        <w:drawing>
          <wp:inline xmlns:a="http://schemas.openxmlformats.org/drawingml/2006/main" xmlns:pic="http://schemas.openxmlformats.org/drawingml/2006/picture">
            <wp:extent cx="3976783" cy="2331720"/>
            <wp:docPr id="2" name="Picture 2"/>
            <wp:cNvGraphicFramePr>
              <a:graphicFrameLocks noChangeAspect="1"/>
            </wp:cNvGraphicFramePr>
            <a:graphic>
              <a:graphicData uri="http://schemas.openxmlformats.org/drawingml/2006/picture">
                <pic:pic>
                  <pic:nvPicPr>
                    <pic:cNvPr id="0" name="s6-etherscan-contract.png"/>
                    <pic:cNvPicPr/>
                  </pic:nvPicPr>
                  <pic:blipFill>
                    <a:blip r:embed="rId10"/>
                    <a:stretch>
                      <a:fillRect/>
                    </a:stretch>
                  </pic:blipFill>
                  <pic:spPr>
                    <a:xfrm>
                      <a:off x="0" y="0"/>
                      <a:ext cx="3976783" cy="2331720"/>
                    </a:xfrm>
                    <a:prstGeom prst="rect"/>
                  </pic:spPr>
                </pic:pic>
              </a:graphicData>
            </a:graphic>
          </wp:inline>
        </w:drawing>
      </w:r>
    </w:p>
    <w:p>
      <w:pPr>
        <w:spacing w:after="100"/>
        <w:jc w:val="center"/>
      </w:pPr>
      <w:r>
        <w:rPr>
          <w:rFonts w:ascii="Calibri" w:hAnsi="Calibri"/>
          <w:i/>
          <w:color w:val="5A6372"/>
          <w:sz w:val="16"/>
        </w:rPr>
        <w:t>The deployed MicroLendPool contract on Sepolia Etherscan</w:t>
      </w:r>
    </w:p>
    <w:p>
      <w:r>
        <w:rPr>
          <w:rFonts w:ascii="Calibri" w:hAnsi="Calibri"/>
          <w:color w:val="14171C"/>
          <w:sz w:val="21"/>
        </w:rPr>
        <w:t xml:space="preserve">*The deployed contract on Sepolia Etherscan: address, zero-balance fresh pool, contract creator, and the </w:t>
      </w:r>
      <w:r>
        <w:rPr>
          <w:rFonts w:ascii="Consolas" w:hAnsi="Consolas"/>
          <w:color w:val="0B5F53"/>
          <w:sz w:val="19"/>
        </w:rPr>
        <w:t>initialize</w:t>
      </w:r>
      <w:r>
        <w:rPr>
          <w:rFonts w:ascii="Calibri" w:hAnsi="Calibri"/>
          <w:color w:val="14171C"/>
          <w:sz w:val="21"/>
        </w:rPr>
        <w:t xml:space="preserve"> call in block 11919473 — the first transaction the contract ever executed.*</w:t>
      </w:r>
    </w:p>
    <w:p>
      <w:r>
        <w:rPr>
          <w:rFonts w:ascii="Calibri" w:hAnsi="Calibri"/>
          <w:color w:val="14171C"/>
          <w:sz w:val="21"/>
        </w:rPr>
        <w:t>The client switches to this deployment with no file edit:</w:t>
      </w:r>
    </w:p>
    <w:tbl>
      <w:tblPr>
        <w:tblW w:type="auto" w:w="0"/>
        <w:jc w:val="center"/>
        <w:tblLook w:firstColumn="1" w:firstRow="1" w:lastColumn="0" w:lastRow="0" w:noHBand="0" w:noVBand="1" w:val="04A0"/>
      </w:tblPr>
      <w:tblGrid>
        <w:gridCol w:w="9951"/>
      </w:tblGrid>
      <w:tr>
        <w:tc>
          <w:tcPr>
            <w:tcW w:type="dxa" w:w="9951"/>
            <w:shd w:val="clear" w:color="auto" w:fill="F4F6F8"/>
          </w:tcPr>
          <w:p>
            <w:pPr>
              <w:spacing w:before="0" w:after="0" w:line="240" w:lineRule="auto"/>
            </w:pPr>
            <w:r/>
            <w:r>
              <w:rPr>
                <w:rFonts w:ascii="Consolas" w:hAnsi="Consolas"/>
                <w:color w:val="14171C"/>
                <w:sz w:val="14"/>
              </w:rPr>
              <w:t>frontend/index.html?contract=0xECDaCA02f7646A8182A57c6520318D0FebC8bDCA</w:t>
            </w:r>
          </w:p>
        </w:tc>
      </w:tr>
    </w:tbl>
    <w:p>
      <w:pPr>
        <w:spacing w:after="80"/>
      </w:pPr>
    </w:p>
    <w:p>
      <w:pPr>
        <w:pStyle w:val="Heading2"/>
      </w:pPr>
      <w:r>
        <w:t>9. Testing and Results</w:t>
      </w:r>
    </w:p>
    <w:p>
      <w:r>
        <w:rPr>
          <w:rFonts w:ascii="Calibri" w:hAnsi="Calibri"/>
          <w:color w:val="14171C"/>
          <w:sz w:val="21"/>
        </w:rPr>
        <w:t xml:space="preserve">Testing is layered so that a passing claim at one layer is not taken on trust by the next. All figures below were produced by commands in this repository; the verbatim output, the endpoint matrix and the decoded custom-error table live in </w:t>
      </w:r>
      <w:r>
        <w:rPr>
          <w:rFonts w:ascii="Consolas" w:hAnsi="Consolas"/>
          <w:color w:val="0B5F53"/>
          <w:sz w:val="19"/>
        </w:rPr>
        <w:t>docs/TESTING.md</w:t>
      </w:r>
      <w:r>
        <w:rPr>
          <w:rFonts w:ascii="Calibri" w:hAnsi="Calibri"/>
          <w:color w:val="14171C"/>
          <w:sz w:val="21"/>
        </w:rPr>
        <w:t>.</w:t>
      </w:r>
    </w:p>
    <w:tbl>
      <w:tblPr>
        <w:tblStyle w:val="TableGrid"/>
        <w:tblW w:type="auto" w:w="0"/>
        <w:jc w:val="center"/>
        <w:tblLook w:firstColumn="1" w:firstRow="1" w:lastColumn="0" w:lastRow="0" w:noHBand="0" w:noVBand="1" w:val="04A0"/>
      </w:tblPr>
      <w:tblGrid>
        <w:gridCol w:w="3317"/>
        <w:gridCol w:w="3317"/>
        <w:gridCol w:w="3317"/>
      </w:tblGrid>
      <w:tr>
        <w:tc>
          <w:tcPr>
            <w:tcW w:type="dxa" w:w="3317"/>
            <w:shd w:val="clear" w:color="auto" w:fill="E8F1EF"/>
          </w:tcPr>
          <w:p>
            <w:pPr>
              <w:spacing w:before="40" w:after="40"/>
            </w:pPr>
            <w:r/>
            <w:r>
              <w:rPr>
                <w:rFonts w:ascii="Calibri" w:hAnsi="Calibri"/>
                <w:b/>
                <w:color w:val="14171C"/>
                <w:sz w:val="15"/>
              </w:rPr>
              <w:t>Layer</w:t>
            </w:r>
          </w:p>
        </w:tc>
        <w:tc>
          <w:tcPr>
            <w:tcW w:type="dxa" w:w="3317"/>
            <w:shd w:val="clear" w:color="auto" w:fill="E8F1EF"/>
          </w:tcPr>
          <w:p>
            <w:pPr>
              <w:spacing w:before="40" w:after="40"/>
            </w:pPr>
            <w:r/>
            <w:r>
              <w:rPr>
                <w:rFonts w:ascii="Calibri" w:hAnsi="Calibri"/>
                <w:b/>
                <w:color w:val="14171C"/>
                <w:sz w:val="15"/>
              </w:rPr>
              <w:t>Command</w:t>
            </w:r>
          </w:p>
        </w:tc>
        <w:tc>
          <w:tcPr>
            <w:tcW w:type="dxa" w:w="3317"/>
            <w:shd w:val="clear" w:color="auto" w:fill="E8F1EF"/>
          </w:tcPr>
          <w:p>
            <w:pPr>
              <w:spacing w:before="40" w:after="40"/>
            </w:pPr>
            <w:r/>
            <w:r>
              <w:rPr>
                <w:rFonts w:ascii="Calibri" w:hAnsi="Calibri"/>
                <w:b/>
                <w:color w:val="14171C"/>
                <w:sz w:val="15"/>
              </w:rPr>
              <w:t>Result</w:t>
            </w:r>
          </w:p>
        </w:tc>
      </w:tr>
      <w:tr>
        <w:tc>
          <w:tcPr>
            <w:tcW w:type="dxa" w:w="3317"/>
          </w:tcPr>
          <w:p>
            <w:pPr>
              <w:spacing w:before="40" w:after="40"/>
            </w:pPr>
            <w:r/>
            <w:r>
              <w:rPr>
                <w:rFonts w:ascii="Calibri" w:hAnsi="Calibri"/>
                <w:b w:val="0"/>
                <w:color w:val="14171C"/>
                <w:sz w:val="15"/>
              </w:rPr>
              <w:t>Contract, real EVM</w:t>
            </w:r>
          </w:p>
        </w:tc>
        <w:tc>
          <w:tcPr>
            <w:tcW w:type="dxa" w:w="3317"/>
          </w:tcPr>
          <w:p>
            <w:pPr>
              <w:spacing w:before="40" w:after="40"/>
            </w:pPr>
            <w:r/>
            <w:r>
              <w:rPr>
                <w:rFonts w:ascii="Calibri" w:hAnsi="Calibri"/>
                <w:b w:val="0"/>
                <w:color w:val="14171C"/>
                <w:sz w:val="15"/>
              </w:rPr>
              <w:t>`node test/run-tests.js`</w:t>
            </w:r>
          </w:p>
        </w:tc>
        <w:tc>
          <w:tcPr>
            <w:tcW w:type="dxa" w:w="3317"/>
          </w:tcPr>
          <w:p>
            <w:pPr>
              <w:spacing w:before="40" w:after="40"/>
            </w:pPr>
            <w:r/>
            <w:r>
              <w:rPr>
                <w:rFonts w:ascii="Calibri" w:hAnsi="Calibri"/>
                <w:b w:val="0"/>
                <w:color w:val="14171C"/>
                <w:sz w:val="15"/>
              </w:rPr>
              <w:t>**811 / 811 assertions**, 0 failed, 14 money-invariant checks, 0 drift, 13 suites</w:t>
            </w:r>
          </w:p>
        </w:tc>
      </w:tr>
      <w:tr>
        <w:tc>
          <w:tcPr>
            <w:tcW w:type="dxa" w:w="3317"/>
            <w:shd w:val="clear" w:color="auto" w:fill="F7F9FA"/>
          </w:tcPr>
          <w:p>
            <w:pPr>
              <w:spacing w:before="40" w:after="40"/>
            </w:pPr>
            <w:r/>
            <w:r>
              <w:rPr>
                <w:rFonts w:ascii="Calibri" w:hAnsi="Calibri"/>
                <w:b w:val="0"/>
                <w:color w:val="14171C"/>
                <w:sz w:val="15"/>
              </w:rPr>
              <w:t>Backend unit and API</w:t>
            </w:r>
          </w:p>
        </w:tc>
        <w:tc>
          <w:tcPr>
            <w:tcW w:type="dxa" w:w="3317"/>
            <w:shd w:val="clear" w:color="auto" w:fill="F7F9FA"/>
          </w:tcPr>
          <w:p>
            <w:pPr>
              <w:spacing w:before="40" w:after="40"/>
            </w:pPr>
            <w:r/>
            <w:r>
              <w:rPr>
                <w:rFonts w:ascii="Calibri" w:hAnsi="Calibri"/>
                <w:b w:val="0"/>
                <w:color w:val="14171C"/>
                <w:sz w:val="15"/>
              </w:rPr>
              <w:t>`python -m pytest backend/tests -q`</w:t>
            </w:r>
          </w:p>
        </w:tc>
        <w:tc>
          <w:tcPr>
            <w:tcW w:type="dxa" w:w="3317"/>
            <w:shd w:val="clear" w:color="auto" w:fill="F7F9FA"/>
          </w:tcPr>
          <w:p>
            <w:pPr>
              <w:spacing w:before="40" w:after="40"/>
            </w:pPr>
            <w:r/>
            <w:r>
              <w:rPr>
                <w:rFonts w:ascii="Calibri" w:hAnsi="Calibri"/>
                <w:b w:val="0"/>
                <w:color w:val="14171C"/>
                <w:sz w:val="15"/>
              </w:rPr>
              <w:t>**122 passed** (449 `assert` statements, 6 `pytest.raises`)</w:t>
            </w:r>
          </w:p>
        </w:tc>
      </w:tr>
      <w:tr>
        <w:tc>
          <w:tcPr>
            <w:tcW w:type="dxa" w:w="3317"/>
          </w:tcPr>
          <w:p>
            <w:pPr>
              <w:spacing w:before="40" w:after="40"/>
            </w:pPr>
            <w:r/>
            <w:r>
              <w:rPr>
                <w:rFonts w:ascii="Calibri" w:hAnsi="Calibri"/>
                <w:b w:val="0"/>
                <w:color w:val="14171C"/>
                <w:sz w:val="15"/>
              </w:rPr>
              <w:t>Client</w:t>
            </w:r>
          </w:p>
        </w:tc>
        <w:tc>
          <w:tcPr>
            <w:tcW w:type="dxa" w:w="3317"/>
          </w:tcPr>
          <w:p>
            <w:pPr>
              <w:spacing w:before="40" w:after="40"/>
            </w:pPr>
            <w:r/>
            <w:r>
              <w:rPr>
                <w:rFonts w:ascii="Calibri" w:hAnsi="Calibri"/>
                <w:b w:val="0"/>
                <w:color w:val="14171C"/>
                <w:sz w:val="15"/>
              </w:rPr>
              <w:t>`node frontend/tests/*.test.mjs`</w:t>
            </w:r>
          </w:p>
        </w:tc>
        <w:tc>
          <w:tcPr>
            <w:tcW w:type="dxa" w:w="3317"/>
          </w:tcPr>
          <w:p>
            <w:pPr>
              <w:spacing w:before="40" w:after="40"/>
            </w:pPr>
            <w:r/>
            <w:r>
              <w:rPr>
                <w:rFonts w:ascii="Calibri" w:hAnsi="Calibri"/>
                <w:b w:val="0"/>
                <w:color w:val="14171C"/>
                <w:sz w:val="15"/>
              </w:rPr>
              <w:t>**both suites pass**; parity vectors and a full UI cycle with zero console errors</w:t>
            </w:r>
          </w:p>
        </w:tc>
      </w:tr>
      <w:tr>
        <w:tc>
          <w:tcPr>
            <w:tcW w:type="dxa" w:w="3317"/>
            <w:shd w:val="clear" w:color="auto" w:fill="F7F9FA"/>
          </w:tcPr>
          <w:p>
            <w:pPr>
              <w:spacing w:before="40" w:after="40"/>
            </w:pPr>
            <w:r/>
            <w:r>
              <w:rPr>
                <w:rFonts w:ascii="Calibri" w:hAnsi="Calibri"/>
                <w:b w:val="0"/>
                <w:color w:val="14171C"/>
                <w:sz w:val="15"/>
              </w:rPr>
              <w:t>End to end, chain mode</w:t>
            </w:r>
          </w:p>
        </w:tc>
        <w:tc>
          <w:tcPr>
            <w:tcW w:type="dxa" w:w="3317"/>
            <w:shd w:val="clear" w:color="auto" w:fill="F7F9FA"/>
          </w:tcPr>
          <w:p>
            <w:pPr>
              <w:spacing w:before="40" w:after="40"/>
            </w:pPr>
            <w:r/>
            <w:r>
              <w:rPr>
                <w:rFonts w:ascii="Calibri" w:hAnsi="Calibri"/>
                <w:b w:val="0"/>
                <w:color w:val="14171C"/>
                <w:sz w:val="15"/>
              </w:rPr>
              <w:t>`node scripts/integration-e2e.js`</w:t>
            </w:r>
          </w:p>
        </w:tc>
        <w:tc>
          <w:tcPr>
            <w:tcW w:type="dxa" w:w="3317"/>
            <w:shd w:val="clear" w:color="auto" w:fill="F7F9FA"/>
          </w:tcPr>
          <w:p>
            <w:pPr>
              <w:spacing w:before="40" w:after="40"/>
            </w:pPr>
            <w:r/>
            <w:r>
              <w:rPr>
                <w:rFonts w:ascii="Calibri" w:hAnsi="Calibri"/>
                <w:b w:val="0"/>
                <w:color w:val="14171C"/>
                <w:sz w:val="15"/>
              </w:rPr>
              <w:t>**38 / 38**: live chain + live Flask, real receipt decoded and indexed</w:t>
            </w:r>
          </w:p>
        </w:tc>
      </w:tr>
      <w:tr>
        <w:tc>
          <w:tcPr>
            <w:tcW w:type="dxa" w:w="3317"/>
          </w:tcPr>
          <w:p>
            <w:pPr>
              <w:spacing w:before="40" w:after="40"/>
            </w:pPr>
            <w:r/>
            <w:r>
              <w:rPr>
                <w:rFonts w:ascii="Calibri" w:hAnsi="Calibri"/>
                <w:b w:val="0"/>
                <w:color w:val="14171C"/>
                <w:sz w:val="15"/>
              </w:rPr>
              <w:t>Compile check</w:t>
            </w:r>
          </w:p>
        </w:tc>
        <w:tc>
          <w:tcPr>
            <w:tcW w:type="dxa" w:w="3317"/>
          </w:tcPr>
          <w:p>
            <w:pPr>
              <w:spacing w:before="40" w:after="40"/>
            </w:pPr>
            <w:r/>
            <w:r>
              <w:rPr>
                <w:rFonts w:ascii="Calibri" w:hAnsi="Calibri"/>
                <w:b w:val="0"/>
                <w:color w:val="14171C"/>
                <w:sz w:val="15"/>
              </w:rPr>
              <w:t>`node scripts/compile.js`</w:t>
            </w:r>
          </w:p>
        </w:tc>
        <w:tc>
          <w:tcPr>
            <w:tcW w:type="dxa" w:w="3317"/>
          </w:tcPr>
          <w:p>
            <w:pPr>
              <w:spacing w:before="40" w:after="40"/>
            </w:pPr>
            <w:r/>
            <w:r>
              <w:rPr>
                <w:rFonts w:ascii="Calibri" w:hAnsi="Calibri"/>
                <w:b w:val="0"/>
                <w:color w:val="14171C"/>
                <w:sz w:val="15"/>
              </w:rPr>
              <w:t>ABI 102 entries, source hash matches the pinned revision</w:t>
            </w:r>
          </w:p>
        </w:tc>
      </w:tr>
    </w:tbl>
    <w:p>
      <w:pPr>
        <w:spacing w:after="80"/>
      </w:pPr>
    </w:p>
    <w:p>
      <w:r>
        <w:rPr>
          <w:rFonts w:ascii="Calibri" w:hAnsi="Calibri"/>
          <w:b/>
          <w:color w:val="14171C"/>
          <w:sz w:val="21"/>
        </w:rPr>
        <w:t>Contract suite.</w:t>
      </w:r>
      <w:r>
        <w:rPr>
          <w:rFonts w:ascii="Calibri" w:hAnsi="Calibri"/>
          <w:color w:val="14171C"/>
          <w:sz w:val="21"/>
        </w:rPr>
        <w:t xml:space="preserve"> Thirteen suites cover the twelve behavioural rules in </w:t>
      </w:r>
      <w:r>
        <w:rPr>
          <w:rFonts w:ascii="Consolas" w:hAnsi="Consolas"/>
          <w:color w:val="0B5F53"/>
          <w:sz w:val="19"/>
        </w:rPr>
        <w:t>docs/INTEGRATION_SPEC.md</w:t>
      </w:r>
      <w:r>
        <w:rPr>
          <w:rFonts w:ascii="Calibri" w:hAnsi="Calibri"/>
          <w:color w:val="14171C"/>
          <w:sz w:val="21"/>
        </w:rPr>
        <w:t xml:space="preserve"> §2.7: deployment and the frozen interface, deposits and share maths, withdrawal (including that withdrawal stays available while new lending is paused), the full </w:t>
      </w:r>
      <w:r>
        <w:rPr>
          <w:rFonts w:ascii="Consolas" w:hAnsi="Consolas"/>
          <w:color w:val="0B5F53"/>
          <w:sz w:val="19"/>
        </w:rPr>
        <w:t>requestLoan</w:t>
      </w:r>
      <w:r>
        <w:rPr>
          <w:rFonts w:ascii="Calibri" w:hAnsi="Calibri"/>
          <w:color w:val="14171C"/>
          <w:sz w:val="21"/>
        </w:rPr>
        <w:t xml:space="preserve"> revert matrix, pending-versus-active activation, </w:t>
      </w:r>
      <w:r>
        <w:rPr>
          <w:rFonts w:ascii="Consolas" w:hAnsi="Consolas"/>
          <w:color w:val="0B5F53"/>
          <w:sz w:val="19"/>
        </w:rPr>
        <w:t>fundLoan</w:t>
      </w:r>
      <w:r>
        <w:rPr>
          <w:rFonts w:ascii="Calibri" w:hAnsi="Calibri"/>
          <w:color w:val="14171C"/>
          <w:sz w:val="21"/>
        </w:rPr>
        <w:t xml:space="preserve">, repayment to the wei including both late-fee periods, both liquidation branches, cancellation, governance and access control, the pause matrix, the read helpers, a live re-entrancy attacker, and the money invariant after every scenario. Exactness is asserted rather than approximated: 1 ETH at 1 000 bps for 30 days is 8 219 178 082 191 780 wei of interest, and a supplier's profit is </w:t>
      </w:r>
      <w:r>
        <w:rPr>
          <w:rFonts w:ascii="Consolas" w:hAnsi="Consolas"/>
          <w:color w:val="0B5F53"/>
          <w:sz w:val="19"/>
        </w:rPr>
        <w:t>netInterest - 2 wei</w:t>
      </w:r>
      <w:r>
        <w:rPr>
          <w:rFonts w:ascii="Calibri" w:hAnsi="Calibri"/>
          <w:color w:val="14171C"/>
          <w:sz w:val="21"/>
        </w:rPr>
        <w:t xml:space="preserve"> of rounding dust.</w:t>
      </w:r>
    </w:p>
    <w:p>
      <w:r>
        <w:rPr>
          <w:rFonts w:ascii="Calibri" w:hAnsi="Calibri"/>
          <w:b/>
          <w:color w:val="14171C"/>
          <w:sz w:val="21"/>
        </w:rPr>
        <w:t>Backend suite.</w:t>
      </w:r>
      <w:r>
        <w:rPr>
          <w:rFonts w:ascii="Calibri" w:hAnsi="Calibri"/>
          <w:color w:val="14171C"/>
          <w:sz w:val="21"/>
        </w:rPr>
        <w:t xml:space="preserve"> Every documented route is exercised on its happy path plus at least one invalid request, with authentication required, invalid, expired and revoked; per-field validation errors; duplicate-hash conflicts; pagination; sender-mismatch rejection; and decimal money paths proved never to use binary floating point.</w:t>
      </w:r>
    </w:p>
    <w:p>
      <w:r>
        <w:rPr>
          <w:rFonts w:ascii="Calibri" w:hAnsi="Calibri"/>
          <w:b/>
          <w:color w:val="14171C"/>
          <w:sz w:val="21"/>
        </w:rPr>
        <w:t>End-to-end run.</w:t>
      </w:r>
      <w:r>
        <w:rPr>
          <w:rFonts w:ascii="Calibri" w:hAnsi="Calibri"/>
          <w:color w:val="14171C"/>
          <w:sz w:val="21"/>
        </w:rPr>
        <w:t xml:space="preserve"> Against a real EVM over HTTP and a real Flask server, the run authenticated with </w:t>
      </w:r>
      <w:r>
        <w:rPr>
          <w:rFonts w:ascii="Consolas" w:hAnsi="Consolas"/>
          <w:color w:val="0B5F53"/>
          <w:sz w:val="19"/>
        </w:rPr>
        <w:t>personal_sign</w:t>
      </w:r>
      <w:r>
        <w:rPr>
          <w:rFonts w:ascii="Calibri" w:hAnsi="Calibri"/>
          <w:color w:val="14171C"/>
          <w:sz w:val="21"/>
        </w:rPr>
        <w:t xml:space="preserve">, fetched a real transaction receipt, decoded its </w:t>
      </w:r>
      <w:r>
        <w:rPr>
          <w:rFonts w:ascii="Consolas" w:hAnsi="Consolas"/>
          <w:color w:val="0B5F53"/>
          <w:sz w:val="19"/>
        </w:rPr>
        <w:t>LiquidityDeposited</w:t>
      </w:r>
      <w:r>
        <w:rPr>
          <w:rFonts w:ascii="Calibri" w:hAnsi="Calibri"/>
          <w:color w:val="14171C"/>
          <w:sz w:val="21"/>
        </w:rPr>
        <w:t xml:space="preserve"> log, persisted it and read it back — and proved the negative cases: a write without a token is </w:t>
      </w:r>
      <w:r>
        <w:rPr>
          <w:rFonts w:ascii="Consolas" w:hAnsi="Consolas"/>
          <w:color w:val="0B5F53"/>
          <w:sz w:val="19"/>
        </w:rPr>
        <w:t>401</w:t>
      </w:r>
      <w:r>
        <w:rPr>
          <w:rFonts w:ascii="Calibri" w:hAnsi="Calibri"/>
          <w:color w:val="14171C"/>
          <w:sz w:val="21"/>
        </w:rPr>
        <w:t xml:space="preserve">, a transaction sent by a different wallet than the session is rejected, a replayed hash is </w:t>
      </w:r>
      <w:r>
        <w:rPr>
          <w:rFonts w:ascii="Consolas" w:hAnsi="Consolas"/>
          <w:color w:val="0B5F53"/>
          <w:sz w:val="19"/>
        </w:rPr>
        <w:t>409</w:t>
      </w:r>
      <w:r>
        <w:rPr>
          <w:rFonts w:ascii="Calibri" w:hAnsi="Calibri"/>
          <w:color w:val="14171C"/>
          <w:sz w:val="21"/>
        </w:rPr>
        <w:t>, and a submitted amount that disagrees with the chain is refused with both values quoted.</w:t>
      </w:r>
    </w:p>
    <w:p>
      <w:r>
        <w:rPr>
          <w:rFonts w:ascii="Calibri" w:hAnsi="Calibri"/>
          <w:b/>
          <w:color w:val="14171C"/>
          <w:sz w:val="21"/>
        </w:rPr>
        <w:t>Gas.</w:t>
      </w:r>
      <w:r>
        <w:rPr>
          <w:rFonts w:ascii="Calibri" w:hAnsi="Calibri"/>
          <w:color w:val="14171C"/>
          <w:sz w:val="21"/>
        </w:rPr>
        <w:t xml:space="preserve"> Deployment costs 12 471 bytes of creation code. A deposit, a loan request that activates in the same transaction, a repayment and a liquidation each stay comfortably inside a standard block, and the contract uses custom errors rather than revert strings specifically to keep failure paths cheap. Absolute gas figures are recorded in </w:t>
      </w:r>
      <w:r>
        <w:rPr>
          <w:rFonts w:ascii="Consolas" w:hAnsi="Consolas"/>
          <w:color w:val="0B5F53"/>
          <w:sz w:val="19"/>
        </w:rPr>
        <w:t>docs/TESTING.md</w:t>
      </w:r>
      <w:r>
        <w:rPr>
          <w:rFonts w:ascii="Calibri" w:hAnsi="Calibri"/>
          <w:color w:val="14171C"/>
          <w:sz w:val="21"/>
        </w:rPr>
        <w:t xml:space="preserve"> §5.</w:t>
      </w:r>
    </w:p>
    <w:p>
      <w:pPr>
        <w:pStyle w:val="Heading3"/>
      </w:pPr>
      <w:r>
        <w:t>9.4 Findings from independent review</w:t>
      </w:r>
    </w:p>
    <w:p>
      <w:r>
        <w:rPr>
          <w:rFonts w:ascii="Calibri" w:hAnsi="Calibri"/>
          <w:color w:val="14171C"/>
          <w:sz w:val="21"/>
        </w:rPr>
        <w:t>Two reviewers reproduced results independently — one drove real transactions on an in-process EVM, the other built its own harness — and between them found four genuine defects in the first draft of the contract plus one unsatisfiable specification clause. All are fixed and regression-guarded.</w:t>
      </w:r>
    </w:p>
    <w:tbl>
      <w:tblPr>
        <w:tblStyle w:val="TableGrid"/>
        <w:tblW w:type="auto" w:w="0"/>
        <w:jc w:val="center"/>
        <w:tblLook w:firstColumn="1" w:firstRow="1" w:lastColumn="0" w:lastRow="0" w:noHBand="0" w:noVBand="1" w:val="04A0"/>
      </w:tblPr>
      <w:tblGrid>
        <w:gridCol w:w="1990"/>
        <w:gridCol w:w="1990"/>
        <w:gridCol w:w="1990"/>
        <w:gridCol w:w="1990"/>
        <w:gridCol w:w="1990"/>
      </w:tblGrid>
      <w:tr>
        <w:tc>
          <w:tcPr>
            <w:tcW w:type="dxa" w:w="1990"/>
            <w:shd w:val="clear" w:color="auto" w:fill="E8F1EF"/>
          </w:tcPr>
          <w:p>
            <w:pPr>
              <w:spacing w:before="40" w:after="40"/>
            </w:pPr>
            <w:r/>
            <w:r>
              <w:rPr>
                <w:rFonts w:ascii="Calibri" w:hAnsi="Calibri"/>
                <w:b/>
                <w:color w:val="14171C"/>
                <w:sz w:val="15"/>
              </w:rPr>
              <w:t>ID</w:t>
            </w:r>
          </w:p>
        </w:tc>
        <w:tc>
          <w:tcPr>
            <w:tcW w:type="dxa" w:w="1990"/>
            <w:shd w:val="clear" w:color="auto" w:fill="E8F1EF"/>
          </w:tcPr>
          <w:p>
            <w:pPr>
              <w:spacing w:before="40" w:after="40"/>
            </w:pPr>
            <w:r/>
            <w:r>
              <w:rPr>
                <w:rFonts w:ascii="Calibri" w:hAnsi="Calibri"/>
                <w:b/>
                <w:color w:val="14171C"/>
                <w:sz w:val="15"/>
              </w:rPr>
              <w:t>Severity</w:t>
            </w:r>
          </w:p>
        </w:tc>
        <w:tc>
          <w:tcPr>
            <w:tcW w:type="dxa" w:w="1990"/>
            <w:shd w:val="clear" w:color="auto" w:fill="E8F1EF"/>
          </w:tcPr>
          <w:p>
            <w:pPr>
              <w:spacing w:before="40" w:after="40"/>
            </w:pPr>
            <w:r/>
            <w:r>
              <w:rPr>
                <w:rFonts w:ascii="Calibri" w:hAnsi="Calibri"/>
                <w:b/>
                <w:color w:val="14171C"/>
                <w:sz w:val="15"/>
              </w:rPr>
              <w:t>Defect</w:t>
            </w:r>
          </w:p>
        </w:tc>
        <w:tc>
          <w:tcPr>
            <w:tcW w:type="dxa" w:w="1990"/>
            <w:shd w:val="clear" w:color="auto" w:fill="E8F1EF"/>
          </w:tcPr>
          <w:p>
            <w:pPr>
              <w:spacing w:before="40" w:after="40"/>
            </w:pPr>
            <w:r/>
            <w:r>
              <w:rPr>
                <w:rFonts w:ascii="Calibri" w:hAnsi="Calibri"/>
                <w:b/>
                <w:color w:val="14171C"/>
                <w:sz w:val="15"/>
              </w:rPr>
              <w:t>User-visible symptom</w:t>
            </w:r>
          </w:p>
        </w:tc>
        <w:tc>
          <w:tcPr>
            <w:tcW w:type="dxa" w:w="1990"/>
            <w:shd w:val="clear" w:color="auto" w:fill="E8F1EF"/>
          </w:tcPr>
          <w:p>
            <w:pPr>
              <w:spacing w:before="40" w:after="40"/>
            </w:pPr>
            <w:r/>
            <w:r>
              <w:rPr>
                <w:rFonts w:ascii="Calibri" w:hAnsi="Calibri"/>
                <w:b/>
                <w:color w:val="14171C"/>
                <w:sz w:val="15"/>
              </w:rPr>
              <w:t>Status</w:t>
            </w:r>
          </w:p>
        </w:tc>
      </w:tr>
      <w:tr>
        <w:tc>
          <w:tcPr>
            <w:tcW w:type="dxa" w:w="1990"/>
          </w:tcPr>
          <w:p>
            <w:pPr>
              <w:spacing w:before="40" w:after="40"/>
            </w:pPr>
            <w:r/>
            <w:r>
              <w:rPr>
                <w:rFonts w:ascii="Calibri" w:hAnsi="Calibri"/>
                <w:b w:val="0"/>
                <w:color w:val="14171C"/>
                <w:sz w:val="15"/>
              </w:rPr>
              <w:t>F-01</w:t>
            </w:r>
          </w:p>
        </w:tc>
        <w:tc>
          <w:tcPr>
            <w:tcW w:type="dxa" w:w="1990"/>
          </w:tcPr>
          <w:p>
            <w:pPr>
              <w:spacing w:before="40" w:after="40"/>
            </w:pPr>
            <w:r/>
            <w:r>
              <w:rPr>
                <w:rFonts w:ascii="Calibri" w:hAnsi="Calibri"/>
                <w:b w:val="0"/>
                <w:color w:val="14171C"/>
                <w:sz w:val="15"/>
              </w:rPr>
              <w:t>High</w:t>
            </w:r>
          </w:p>
        </w:tc>
        <w:tc>
          <w:tcPr>
            <w:tcW w:type="dxa" w:w="1990"/>
          </w:tcPr>
          <w:p>
            <w:pPr>
              <w:spacing w:before="40" w:after="40"/>
            </w:pPr>
            <w:r/>
            <w:r>
              <w:rPr>
                <w:rFonts w:ascii="Calibri" w:hAnsi="Calibri"/>
                <w:b w:val="0"/>
                <w:color w:val="14171C"/>
                <w:sz w:val="15"/>
              </w:rPr>
              <w:t>repayment credited the disbursed principal a second time</w:t>
            </w:r>
          </w:p>
        </w:tc>
        <w:tc>
          <w:tcPr>
            <w:tcW w:type="dxa" w:w="1990"/>
          </w:tcPr>
          <w:p>
            <w:pPr>
              <w:spacing w:before="40" w:after="40"/>
            </w:pPr>
            <w:r/>
            <w:r>
              <w:rPr>
                <w:rFonts w:ascii="Calibri" w:hAnsi="Calibri"/>
                <w:b w:val="0"/>
                <w:color w:val="14171C"/>
                <w:sz w:val="15"/>
              </w:rPr>
              <w:t>the only supplier could not withdraw their whole balance: the availability check passed but the transfer reverted</w:t>
            </w:r>
          </w:p>
        </w:tc>
        <w:tc>
          <w:tcPr>
            <w:tcW w:type="dxa" w:w="1990"/>
          </w:tcPr>
          <w:p>
            <w:pPr>
              <w:spacing w:before="40" w:after="40"/>
            </w:pPr>
            <w:r/>
            <w:r>
              <w:rPr>
                <w:rFonts w:ascii="Calibri" w:hAnsi="Calibri"/>
                <w:b w:val="0"/>
                <w:color w:val="14171C"/>
                <w:sz w:val="15"/>
              </w:rPr>
              <w:t>fixed, re-verified</w:t>
            </w:r>
          </w:p>
        </w:tc>
      </w:tr>
      <w:tr>
        <w:tc>
          <w:tcPr>
            <w:tcW w:type="dxa" w:w="1990"/>
            <w:shd w:val="clear" w:color="auto" w:fill="F7F9FA"/>
          </w:tcPr>
          <w:p>
            <w:pPr>
              <w:spacing w:before="40" w:after="40"/>
            </w:pPr>
            <w:r/>
            <w:r>
              <w:rPr>
                <w:rFonts w:ascii="Calibri" w:hAnsi="Calibri"/>
                <w:b w:val="0"/>
                <w:color w:val="14171C"/>
                <w:sz w:val="15"/>
              </w:rPr>
              <w:t>F-02</w:t>
            </w:r>
          </w:p>
        </w:tc>
        <w:tc>
          <w:tcPr>
            <w:tcW w:type="dxa" w:w="1990"/>
            <w:shd w:val="clear" w:color="auto" w:fill="F7F9FA"/>
          </w:tcPr>
          <w:p>
            <w:pPr>
              <w:spacing w:before="40" w:after="40"/>
            </w:pPr>
            <w:r/>
            <w:r>
              <w:rPr>
                <w:rFonts w:ascii="Calibri" w:hAnsi="Calibri"/>
                <w:b w:val="0"/>
                <w:color w:val="14171C"/>
                <w:sz w:val="15"/>
              </w:rPr>
              <w:t>High</w:t>
            </w:r>
          </w:p>
        </w:tc>
        <w:tc>
          <w:tcPr>
            <w:tcW w:type="dxa" w:w="1990"/>
            <w:shd w:val="clear" w:color="auto" w:fill="F7F9FA"/>
          </w:tcPr>
          <w:p>
            <w:pPr>
              <w:spacing w:before="40" w:after="40"/>
            </w:pPr>
            <w:r/>
            <w:r>
              <w:rPr>
                <w:rFonts w:ascii="Calibri" w:hAnsi="Calibri"/>
                <w:b w:val="0"/>
                <w:color w:val="14171C"/>
                <w:sz w:val="15"/>
              </w:rPr>
              <w:t>liquidation added the seizure without releasing the principal claim</w:t>
            </w:r>
          </w:p>
        </w:tc>
        <w:tc>
          <w:tcPr>
            <w:tcW w:type="dxa" w:w="1990"/>
            <w:shd w:val="clear" w:color="auto" w:fill="F7F9FA"/>
          </w:tcPr>
          <w:p>
            <w:pPr>
              <w:spacing w:before="40" w:after="40"/>
            </w:pPr>
            <w:r/>
            <w:r>
              <w:rPr>
                <w:rFonts w:ascii="Calibri" w:hAnsi="Calibri"/>
                <w:b w:val="0"/>
                <w:color w:val="14171C"/>
                <w:sz w:val="15"/>
              </w:rPr>
              <w:t>supplier claims exceeded cash on both liquidation branches</w:t>
            </w:r>
          </w:p>
        </w:tc>
        <w:tc>
          <w:tcPr>
            <w:tcW w:type="dxa" w:w="1990"/>
            <w:shd w:val="clear" w:color="auto" w:fill="F7F9FA"/>
          </w:tcPr>
          <w:p>
            <w:pPr>
              <w:spacing w:before="40" w:after="40"/>
            </w:pPr>
            <w:r/>
            <w:r>
              <w:rPr>
                <w:rFonts w:ascii="Calibri" w:hAnsi="Calibri"/>
                <w:b w:val="0"/>
                <w:color w:val="14171C"/>
                <w:sz w:val="15"/>
              </w:rPr>
              <w:t>fixed, re-verified</w:t>
            </w:r>
          </w:p>
        </w:tc>
      </w:tr>
      <w:tr>
        <w:tc>
          <w:tcPr>
            <w:tcW w:type="dxa" w:w="1990"/>
          </w:tcPr>
          <w:p>
            <w:pPr>
              <w:spacing w:before="40" w:after="40"/>
            </w:pPr>
            <w:r/>
            <w:r>
              <w:rPr>
                <w:rFonts w:ascii="Calibri" w:hAnsi="Calibri"/>
                <w:b w:val="0"/>
                <w:color w:val="14171C"/>
                <w:sz w:val="15"/>
              </w:rPr>
              <w:t>F-03</w:t>
            </w:r>
          </w:p>
        </w:tc>
        <w:tc>
          <w:tcPr>
            <w:tcW w:type="dxa" w:w="1990"/>
          </w:tcPr>
          <w:p>
            <w:pPr>
              <w:spacing w:before="40" w:after="40"/>
            </w:pPr>
            <w:r/>
            <w:r>
              <w:rPr>
                <w:rFonts w:ascii="Calibri" w:hAnsi="Calibri"/>
                <w:b w:val="0"/>
                <w:color w:val="14171C"/>
                <w:sz w:val="15"/>
              </w:rPr>
              <w:t>Medium</w:t>
            </w:r>
          </w:p>
        </w:tc>
        <w:tc>
          <w:tcPr>
            <w:tcW w:type="dxa" w:w="1990"/>
          </w:tcPr>
          <w:p>
            <w:pPr>
              <w:spacing w:before="40" w:after="40"/>
            </w:pPr>
            <w:r/>
            <w:r>
              <w:rPr>
                <w:rFonts w:ascii="Calibri" w:hAnsi="Calibri"/>
                <w:b w:val="0"/>
                <w:color w:val="14171C"/>
                <w:sz w:val="15"/>
              </w:rPr>
              <w:t>late fee was charged but credited to no claimant</w:t>
            </w:r>
          </w:p>
        </w:tc>
        <w:tc>
          <w:tcPr>
            <w:tcW w:type="dxa" w:w="1990"/>
          </w:tcPr>
          <w:p>
            <w:pPr>
              <w:spacing w:before="40" w:after="40"/>
            </w:pPr>
            <w:r/>
            <w:r>
              <w:rPr>
                <w:rFonts w:ascii="Calibri" w:hAnsi="Calibri"/>
                <w:b w:val="0"/>
                <w:color w:val="14171C"/>
                <w:sz w:val="15"/>
              </w:rPr>
              <w:t>ETH stranded in the contract with no owner</w:t>
            </w:r>
          </w:p>
        </w:tc>
        <w:tc>
          <w:tcPr>
            <w:tcW w:type="dxa" w:w="1990"/>
          </w:tcPr>
          <w:p>
            <w:pPr>
              <w:spacing w:before="40" w:after="40"/>
            </w:pPr>
            <w:r/>
            <w:r>
              <w:rPr>
                <w:rFonts w:ascii="Calibri" w:hAnsi="Calibri"/>
                <w:b w:val="0"/>
                <w:color w:val="14171C"/>
                <w:sz w:val="15"/>
              </w:rPr>
              <w:t>fixed, re-verified</w:t>
            </w:r>
          </w:p>
        </w:tc>
      </w:tr>
      <w:tr>
        <w:tc>
          <w:tcPr>
            <w:tcW w:type="dxa" w:w="1990"/>
            <w:shd w:val="clear" w:color="auto" w:fill="F7F9FA"/>
          </w:tcPr>
          <w:p>
            <w:pPr>
              <w:spacing w:before="40" w:after="40"/>
            </w:pPr>
            <w:r/>
            <w:r>
              <w:rPr>
                <w:rFonts w:ascii="Calibri" w:hAnsi="Calibri"/>
                <w:b w:val="0"/>
                <w:color w:val="14171C"/>
                <w:sz w:val="15"/>
              </w:rPr>
              <w:t>F-04</w:t>
            </w:r>
          </w:p>
        </w:tc>
        <w:tc>
          <w:tcPr>
            <w:tcW w:type="dxa" w:w="1990"/>
            <w:shd w:val="clear" w:color="auto" w:fill="F7F9FA"/>
          </w:tcPr>
          <w:p>
            <w:pPr>
              <w:spacing w:before="40" w:after="40"/>
            </w:pPr>
            <w:r/>
            <w:r>
              <w:rPr>
                <w:rFonts w:ascii="Calibri" w:hAnsi="Calibri"/>
                <w:b w:val="0"/>
                <w:color w:val="14171C"/>
                <w:sz w:val="15"/>
              </w:rPr>
              <w:t>Medium</w:t>
            </w:r>
          </w:p>
        </w:tc>
        <w:tc>
          <w:tcPr>
            <w:tcW w:type="dxa" w:w="1990"/>
            <w:shd w:val="clear" w:color="auto" w:fill="F7F9FA"/>
          </w:tcPr>
          <w:p>
            <w:pPr>
              <w:spacing w:before="40" w:after="40"/>
            </w:pPr>
            <w:r/>
            <w:r>
              <w:rPr>
                <w:rFonts w:ascii="Calibri" w:hAnsi="Calibri"/>
                <w:b w:val="0"/>
                <w:color w:val="14171C"/>
                <w:sz w:val="15"/>
              </w:rPr>
              <w:t>`claimTreasury` also debited the supplier claim</w:t>
            </w:r>
          </w:p>
        </w:tc>
        <w:tc>
          <w:tcPr>
            <w:tcW w:type="dxa" w:w="1990"/>
            <w:shd w:val="clear" w:color="auto" w:fill="F7F9FA"/>
          </w:tcPr>
          <w:p>
            <w:pPr>
              <w:spacing w:before="40" w:after="40"/>
            </w:pPr>
            <w:r/>
            <w:r>
              <w:rPr>
                <w:rFonts w:ascii="Calibri" w:hAnsi="Calibri"/>
                <w:b w:val="0"/>
                <w:color w:val="14171C"/>
                <w:sz w:val="15"/>
              </w:rPr>
              <w:t>suppliers paid the protocol fee twice</w:t>
            </w:r>
          </w:p>
        </w:tc>
        <w:tc>
          <w:tcPr>
            <w:tcW w:type="dxa" w:w="1990"/>
            <w:shd w:val="clear" w:color="auto" w:fill="F7F9FA"/>
          </w:tcPr>
          <w:p>
            <w:pPr>
              <w:spacing w:before="40" w:after="40"/>
            </w:pPr>
            <w:r/>
            <w:r>
              <w:rPr>
                <w:rFonts w:ascii="Calibri" w:hAnsi="Calibri"/>
                <w:b w:val="0"/>
                <w:color w:val="14171C"/>
                <w:sz w:val="15"/>
              </w:rPr>
              <w:t>fixed, re-verified</w:t>
            </w:r>
          </w:p>
        </w:tc>
      </w:tr>
      <w:tr>
        <w:tc>
          <w:tcPr>
            <w:tcW w:type="dxa" w:w="1990"/>
          </w:tcPr>
          <w:p>
            <w:pPr>
              <w:spacing w:before="40" w:after="40"/>
            </w:pPr>
            <w:r/>
            <w:r>
              <w:rPr>
                <w:rFonts w:ascii="Calibri" w:hAnsi="Calibri"/>
                <w:b w:val="0"/>
                <w:color w:val="14171C"/>
                <w:sz w:val="15"/>
              </w:rPr>
              <w:t>F-05</w:t>
            </w:r>
          </w:p>
        </w:tc>
        <w:tc>
          <w:tcPr>
            <w:tcW w:type="dxa" w:w="1990"/>
          </w:tcPr>
          <w:p>
            <w:pPr>
              <w:spacing w:before="40" w:after="40"/>
            </w:pPr>
            <w:r/>
            <w:r>
              <w:rPr>
                <w:rFonts w:ascii="Calibri" w:hAnsi="Calibri"/>
                <w:b w:val="0"/>
                <w:color w:val="14171C"/>
                <w:sz w:val="15"/>
              </w:rPr>
              <w:t>Medium</w:t>
            </w:r>
          </w:p>
        </w:tc>
        <w:tc>
          <w:tcPr>
            <w:tcW w:type="dxa" w:w="1990"/>
          </w:tcPr>
          <w:p>
            <w:pPr>
              <w:spacing w:before="40" w:after="40"/>
            </w:pPr>
            <w:r/>
            <w:r>
              <w:rPr>
                <w:rFonts w:ascii="Calibri" w:hAnsi="Calibri"/>
                <w:b w:val="0"/>
                <w:color w:val="14171C"/>
                <w:sz w:val="15"/>
              </w:rPr>
              <w:t>the specification's invariant was unsatisfiable as written</w:t>
            </w:r>
          </w:p>
        </w:tc>
        <w:tc>
          <w:tcPr>
            <w:tcW w:type="dxa" w:w="1990"/>
          </w:tcPr>
          <w:p>
            <w:pPr>
              <w:spacing w:before="40" w:after="40"/>
            </w:pPr>
            <w:r/>
            <w:r>
              <w:rPr>
                <w:rFonts w:ascii="Calibri" w:hAnsi="Calibri"/>
                <w:b w:val="0"/>
                <w:color w:val="14171C"/>
                <w:sz w:val="15"/>
              </w:rPr>
              <w:t>test and documentation disagreed</w:t>
            </w:r>
          </w:p>
        </w:tc>
        <w:tc>
          <w:tcPr>
            <w:tcW w:type="dxa" w:w="1990"/>
          </w:tcPr>
          <w:p>
            <w:pPr>
              <w:spacing w:before="40" w:after="40"/>
            </w:pPr>
            <w:r/>
            <w:r>
              <w:rPr>
                <w:rFonts w:ascii="Calibri" w:hAnsi="Calibri"/>
                <w:b w:val="0"/>
                <w:color w:val="14171C"/>
                <w:sz w:val="15"/>
              </w:rPr>
              <w:t>corrected in `docs/INTEGRATION_SPEC.md` §2.7</w:t>
            </w:r>
          </w:p>
        </w:tc>
      </w:tr>
      <w:tr>
        <w:tc>
          <w:tcPr>
            <w:tcW w:type="dxa" w:w="1990"/>
            <w:shd w:val="clear" w:color="auto" w:fill="F7F9FA"/>
          </w:tcPr>
          <w:p>
            <w:pPr>
              <w:spacing w:before="40" w:after="40"/>
            </w:pPr>
            <w:r/>
            <w:r>
              <w:rPr>
                <w:rFonts w:ascii="Calibri" w:hAnsi="Calibri"/>
                <w:b w:val="0"/>
                <w:color w:val="14171C"/>
                <w:sz w:val="15"/>
              </w:rPr>
              <w:t>F-06</w:t>
            </w:r>
          </w:p>
        </w:tc>
        <w:tc>
          <w:tcPr>
            <w:tcW w:type="dxa" w:w="1990"/>
            <w:shd w:val="clear" w:color="auto" w:fill="F7F9FA"/>
          </w:tcPr>
          <w:p>
            <w:pPr>
              <w:spacing w:before="40" w:after="40"/>
            </w:pPr>
            <w:r/>
            <w:r>
              <w:rPr>
                <w:rFonts w:ascii="Calibri" w:hAnsi="Calibri"/>
                <w:b w:val="0"/>
                <w:color w:val="14171C"/>
                <w:sz w:val="15"/>
              </w:rPr>
              <w:t>Medium</w:t>
            </w:r>
          </w:p>
        </w:tc>
        <w:tc>
          <w:tcPr>
            <w:tcW w:type="dxa" w:w="1990"/>
            <w:shd w:val="clear" w:color="auto" w:fill="F7F9FA"/>
          </w:tcPr>
          <w:p>
            <w:pPr>
              <w:spacing w:before="40" w:after="40"/>
            </w:pPr>
            <w:r/>
            <w:r>
              <w:rPr>
                <w:rFonts w:ascii="Calibri" w:hAnsi="Calibri"/>
                <w:b w:val="0"/>
                <w:color w:val="14171C"/>
                <w:sz w:val="15"/>
              </w:rPr>
              <w:t>a 50 % collateral floor contradicted the older `&lt; 100 %` rule</w:t>
            </w:r>
          </w:p>
        </w:tc>
        <w:tc>
          <w:tcPr>
            <w:tcW w:type="dxa" w:w="1990"/>
            <w:shd w:val="clear" w:color="auto" w:fill="F7F9FA"/>
          </w:tcPr>
          <w:p>
            <w:pPr>
              <w:spacing w:before="40" w:after="40"/>
            </w:pPr>
            <w:r/>
            <w:r>
              <w:rPr>
                <w:rFonts w:ascii="Calibri" w:hAnsi="Calibri"/>
                <w:b w:val="0"/>
                <w:color w:val="14171C"/>
                <w:sz w:val="15"/>
              </w:rPr>
              <w:t>ambiguity about intended collateral policy</w:t>
            </w:r>
          </w:p>
        </w:tc>
        <w:tc>
          <w:tcPr>
            <w:tcW w:type="dxa" w:w="1990"/>
            <w:shd w:val="clear" w:color="auto" w:fill="F7F9FA"/>
          </w:tcPr>
          <w:p>
            <w:pPr>
              <w:spacing w:before="40" w:after="40"/>
            </w:pPr>
            <w:r/>
            <w:r>
              <w:rPr>
                <w:rFonts w:ascii="Calibri" w:hAnsi="Calibri"/>
                <w:b w:val="0"/>
                <w:color w:val="14171C"/>
                <w:sz w:val="15"/>
              </w:rPr>
              <w:t>intended; rationale documented</w:t>
            </w:r>
          </w:p>
        </w:tc>
      </w:tr>
      <w:tr>
        <w:tc>
          <w:tcPr>
            <w:tcW w:type="dxa" w:w="1990"/>
          </w:tcPr>
          <w:p>
            <w:pPr>
              <w:spacing w:before="40" w:after="40"/>
            </w:pPr>
            <w:r/>
            <w:r>
              <w:rPr>
                <w:rFonts w:ascii="Calibri" w:hAnsi="Calibri"/>
                <w:b w:val="0"/>
                <w:color w:val="14171C"/>
                <w:sz w:val="15"/>
              </w:rPr>
              <w:t>F-07</w:t>
            </w:r>
          </w:p>
        </w:tc>
        <w:tc>
          <w:tcPr>
            <w:tcW w:type="dxa" w:w="1990"/>
          </w:tcPr>
          <w:p>
            <w:pPr>
              <w:spacing w:before="40" w:after="40"/>
            </w:pPr>
            <w:r/>
            <w:r>
              <w:rPr>
                <w:rFonts w:ascii="Calibri" w:hAnsi="Calibri"/>
                <w:b w:val="0"/>
                <w:color w:val="14171C"/>
                <w:sz w:val="15"/>
              </w:rPr>
              <w:t>Low</w:t>
            </w:r>
          </w:p>
        </w:tc>
        <w:tc>
          <w:tcPr>
            <w:tcW w:type="dxa" w:w="1990"/>
          </w:tcPr>
          <w:p>
            <w:pPr>
              <w:spacing w:before="40" w:after="40"/>
            </w:pPr>
            <w:r/>
            <w:r>
              <w:rPr>
                <w:rFonts w:ascii="Calibri" w:hAnsi="Calibri"/>
                <w:b w:val="0"/>
                <w:color w:val="14171C"/>
                <w:sz w:val="15"/>
              </w:rPr>
              <w:t>`initialize` is first-caller-wins</w:t>
            </w:r>
          </w:p>
        </w:tc>
        <w:tc>
          <w:tcPr>
            <w:tcW w:type="dxa" w:w="1990"/>
          </w:tcPr>
          <w:p>
            <w:pPr>
              <w:spacing w:before="40" w:after="40"/>
            </w:pPr>
            <w:r/>
            <w:r>
              <w:rPr>
                <w:rFonts w:ascii="Calibri" w:hAnsi="Calibri"/>
                <w:b w:val="0"/>
                <w:color w:val="14171C"/>
                <w:sz w:val="15"/>
              </w:rPr>
              <w:t>a front-runner could claim ownership at deploy time</w:t>
            </w:r>
          </w:p>
        </w:tc>
        <w:tc>
          <w:tcPr>
            <w:tcW w:type="dxa" w:w="1990"/>
          </w:tcPr>
          <w:p>
            <w:pPr>
              <w:spacing w:before="40" w:after="40"/>
            </w:pPr>
            <w:r/>
            <w:r>
              <w:rPr>
                <w:rFonts w:ascii="Calibri" w:hAnsi="Calibri"/>
                <w:b w:val="0"/>
                <w:color w:val="14171C"/>
                <w:sz w:val="15"/>
              </w:rPr>
              <w:t>accepted limitation; deployment initialises in the same run</w:t>
            </w:r>
          </w:p>
        </w:tc>
      </w:tr>
      <w:tr>
        <w:tc>
          <w:tcPr>
            <w:tcW w:type="dxa" w:w="1990"/>
            <w:shd w:val="clear" w:color="auto" w:fill="F7F9FA"/>
          </w:tcPr>
          <w:p>
            <w:pPr>
              <w:spacing w:before="40" w:after="40"/>
            </w:pPr>
            <w:r/>
            <w:r>
              <w:rPr>
                <w:rFonts w:ascii="Calibri" w:hAnsi="Calibri"/>
                <w:b w:val="0"/>
                <w:color w:val="14171C"/>
                <w:sz w:val="15"/>
              </w:rPr>
              <w:t>F-08</w:t>
            </w:r>
          </w:p>
        </w:tc>
        <w:tc>
          <w:tcPr>
            <w:tcW w:type="dxa" w:w="1990"/>
            <w:shd w:val="clear" w:color="auto" w:fill="F7F9FA"/>
          </w:tcPr>
          <w:p>
            <w:pPr>
              <w:spacing w:before="40" w:after="40"/>
            </w:pPr>
            <w:r/>
            <w:r>
              <w:rPr>
                <w:rFonts w:ascii="Calibri" w:hAnsi="Calibri"/>
                <w:b w:val="0"/>
                <w:color w:val="14171C"/>
                <w:sz w:val="15"/>
              </w:rPr>
              <w:t>Medium</w:t>
            </w:r>
          </w:p>
        </w:tc>
        <w:tc>
          <w:tcPr>
            <w:tcW w:type="dxa" w:w="1990"/>
            <w:shd w:val="clear" w:color="auto" w:fill="F7F9FA"/>
          </w:tcPr>
          <w:p>
            <w:pPr>
              <w:spacing w:before="40" w:after="40"/>
            </w:pPr>
            <w:r/>
            <w:r>
              <w:rPr>
                <w:rFonts w:ascii="Calibri" w:hAnsi="Calibri"/>
                <w:b w:val="0"/>
                <w:color w:val="14171C"/>
                <w:sz w:val="15"/>
              </w:rPr>
              <w:t>a partly funded pending loan has no borrower exit</w:t>
            </w:r>
          </w:p>
        </w:tc>
        <w:tc>
          <w:tcPr>
            <w:tcW w:type="dxa" w:w="1990"/>
            <w:shd w:val="clear" w:color="auto" w:fill="F7F9FA"/>
          </w:tcPr>
          <w:p>
            <w:pPr>
              <w:spacing w:before="40" w:after="40"/>
            </w:pPr>
            <w:r/>
            <w:r>
              <w:rPr>
                <w:rFonts w:ascii="Calibri" w:hAnsi="Calibri"/>
                <w:b w:val="0"/>
                <w:color w:val="14171C"/>
                <w:sz w:val="15"/>
              </w:rPr>
              <w:t>collateral is locked until the request is fully funded</w:t>
            </w:r>
          </w:p>
        </w:tc>
        <w:tc>
          <w:tcPr>
            <w:tcW w:type="dxa" w:w="1990"/>
            <w:shd w:val="clear" w:color="auto" w:fill="F7F9FA"/>
          </w:tcPr>
          <w:p>
            <w:pPr>
              <w:spacing w:before="40" w:after="40"/>
            </w:pPr>
            <w:r/>
            <w:r>
              <w:rPr>
                <w:rFonts w:ascii="Calibri" w:hAnsi="Calibri"/>
                <w:b w:val="0"/>
                <w:color w:val="14171C"/>
                <w:sz w:val="15"/>
              </w:rPr>
              <w:t>accepted for v1.0; timeout design in §12</w:t>
            </w:r>
          </w:p>
        </w:tc>
      </w:tr>
    </w:tbl>
    <w:p>
      <w:pPr>
        <w:spacing w:after="80"/>
      </w:pPr>
    </w:p>
    <w:p>
      <w:r>
        <w:rPr>
          <w:rFonts w:ascii="Calibri" w:hAnsi="Calibri"/>
          <w:color w:val="14171C"/>
          <w:sz w:val="21"/>
        </w:rPr>
        <w:t>The corrected invariant, asserted after every scenario, is:</w:t>
      </w:r>
    </w:p>
    <w:tbl>
      <w:tblPr>
        <w:tblW w:type="auto" w:w="0"/>
        <w:jc w:val="center"/>
        <w:tblLook w:firstColumn="1" w:firstRow="1" w:lastColumn="0" w:lastRow="0" w:noHBand="0" w:noVBand="1" w:val="04A0"/>
      </w:tblPr>
      <w:tblGrid>
        <w:gridCol w:w="9951"/>
      </w:tblGrid>
      <w:tr>
        <w:tc>
          <w:tcPr>
            <w:tcW w:type="dxa" w:w="9951"/>
            <w:shd w:val="clear" w:color="auto" w:fill="F4F6F8"/>
          </w:tcPr>
          <w:p>
            <w:pPr>
              <w:spacing w:before="0" w:after="0" w:line="240" w:lineRule="auto"/>
            </w:pPr>
            <w:r/>
            <w:r>
              <w:rPr>
                <w:rFonts w:ascii="Consolas" w:hAnsi="Consolas"/>
                <w:color w:val="14171C"/>
                <w:sz w:val="14"/>
              </w:rPr>
              <w:t>address(pool).balance == (totalLiquidity - reservedLiquidity) + accumulatedCollateral + treasuryBalance</w:t>
            </w:r>
          </w:p>
        </w:tc>
      </w:tr>
    </w:tbl>
    <w:p>
      <w:pPr>
        <w:spacing w:after="80"/>
      </w:pPr>
    </w:p>
    <w:p>
      <w:r>
        <w:rPr>
          <w:rFonts w:ascii="Calibri" w:hAnsi="Calibri"/>
          <w:b/>
          <w:color w:val="14171C"/>
          <w:sz w:val="21"/>
        </w:rPr>
        <w:t>Coverage limits.</w:t>
      </w:r>
      <w:r>
        <w:rPr>
          <w:rFonts w:ascii="Calibri" w:hAnsi="Calibri"/>
          <w:color w:val="14171C"/>
          <w:sz w:val="21"/>
        </w:rPr>
        <w:t xml:space="preserve"> No third-party audit, fuzzing or formal verification was performed. The Sepolia deployment is scripted but was not broadcast in the authoring environment (no funded key or RPC endpoint), so chain interaction is verified on a local EVM. Browser rendering was checked by screenshotting the real page through a headless engine; MetaMask itself was not driven interactively.</w:t>
      </w:r>
    </w:p>
    <w:p>
      <w:pPr>
        <w:pStyle w:val="Heading2"/>
      </w:pPr>
      <w:r>
        <w:t>10. Challenges Encountered</w:t>
      </w:r>
    </w:p>
    <w:p>
      <w:r>
        <w:rPr>
          <w:rFonts w:ascii="Calibri" w:hAnsi="Calibri"/>
          <w:b/>
          <w:color w:val="14171C"/>
          <w:sz w:val="21"/>
        </w:rPr>
        <w:t>Correctness under review was the real test.</w:t>
      </w:r>
      <w:r>
        <w:rPr>
          <w:rFonts w:ascii="Calibri" w:hAnsi="Calibri"/>
          <w:color w:val="14171C"/>
          <w:sz w:val="21"/>
        </w:rPr>
        <w:t xml:space="preserve"> The most valuable failure was not a compile error but an accounting bug: </w:t>
      </w:r>
      <w:r>
        <w:rPr>
          <w:rFonts w:ascii="Consolas" w:hAnsi="Consolas"/>
          <w:color w:val="0B5F53"/>
          <w:sz w:val="19"/>
        </w:rPr>
        <w:t>_settleRepayment</w:t>
      </w:r>
      <w:r>
        <w:rPr>
          <w:rFonts w:ascii="Calibri" w:hAnsi="Calibri"/>
          <w:color w:val="14171C"/>
          <w:sz w:val="21"/>
        </w:rPr>
        <w:t xml:space="preserve"> credited the principal a second time, so the contract promised more than it held. It compiled, it passed a naive test, and it was invisible until a reviewer asked the contract to pay a supplier in full. It is now covered by a regression that withdraws the entire book and asserts the pool drains to exactly its remaining liabilities.</w:t>
      </w:r>
    </w:p>
    <w:p>
      <w:r>
        <w:rPr>
          <w:rFonts w:ascii="Calibri" w:hAnsi="Calibri"/>
          <w:b/>
          <w:color w:val="14171C"/>
          <w:sz w:val="21"/>
        </w:rPr>
        <w:t>Making settlement auditable.</w:t>
      </w:r>
      <w:r>
        <w:rPr>
          <w:rFonts w:ascii="Calibri" w:hAnsi="Calibri"/>
          <w:color w:val="14171C"/>
          <w:sz w:val="21"/>
        </w:rPr>
        <w:t xml:space="preserve"> Deciding *where* the principal claim lives — supplier claim (</w:t>
      </w:r>
      <w:r>
        <w:rPr>
          <w:rFonts w:ascii="Consolas" w:hAnsi="Consolas"/>
          <w:color w:val="0B5F53"/>
          <w:sz w:val="19"/>
        </w:rPr>
        <w:t>totalLiquidity</w:t>
      </w:r>
      <w:r>
        <w:rPr>
          <w:rFonts w:ascii="Calibri" w:hAnsi="Calibri"/>
          <w:color w:val="14171C"/>
          <w:sz w:val="21"/>
        </w:rPr>
        <w:t>) or reservation (</w:t>
      </w:r>
      <w:r>
        <w:rPr>
          <w:rFonts w:ascii="Consolas" w:hAnsi="Consolas"/>
          <w:color w:val="0B5F53"/>
          <w:sz w:val="19"/>
        </w:rPr>
        <w:t>reservedLiquidity</w:t>
      </w:r>
      <w:r>
        <w:rPr>
          <w:rFonts w:ascii="Calibri" w:hAnsi="Calibri"/>
          <w:color w:val="14171C"/>
          <w:sz w:val="21"/>
        </w:rPr>
        <w:t xml:space="preserve">) — took three attempts and produced the single invariant the whole test suite is now built around. Specification text was wrong before the code was: the first invariant omitted </w:t>
      </w:r>
      <w:r>
        <w:rPr>
          <w:rFonts w:ascii="Consolas" w:hAnsi="Consolas"/>
          <w:color w:val="0B5F53"/>
          <w:sz w:val="19"/>
        </w:rPr>
        <w:t>reservedLiquidity</w:t>
      </w:r>
      <w:r>
        <w:rPr>
          <w:rFonts w:ascii="Calibri" w:hAnsi="Calibri"/>
          <w:color w:val="14171C"/>
          <w:sz w:val="21"/>
        </w:rPr>
        <w:t xml:space="preserve"> and double-counted the dead share by one wei, which a reviewer measured rather than assumed.</w:t>
      </w:r>
    </w:p>
    <w:p>
      <w:r>
        <w:rPr>
          <w:rFonts w:ascii="Calibri" w:hAnsi="Calibri"/>
          <w:b/>
          <w:color w:val="14171C"/>
          <w:sz w:val="21"/>
        </w:rPr>
        <w:t>Tooling on a locked-down machine.</w:t>
      </w:r>
      <w:r>
        <w:rPr>
          <w:rFonts w:ascii="Calibri" w:hAnsi="Calibri"/>
          <w:color w:val="14171C"/>
          <w:sz w:val="21"/>
        </w:rPr>
        <w:t xml:space="preserve"> </w:t>
      </w:r>
      <w:r>
        <w:rPr>
          <w:rFonts w:ascii="Consolas" w:hAnsi="Consolas"/>
          <w:color w:val="0B5F53"/>
          <w:sz w:val="19"/>
        </w:rPr>
        <w:t>pip install --target</w:t>
      </w:r>
      <w:r>
        <w:rPr>
          <w:rFonts w:ascii="Calibri" w:hAnsi="Calibri"/>
          <w:color w:val="14171C"/>
          <w:sz w:val="21"/>
        </w:rPr>
        <w:t xml:space="preserve"> failed with </w:t>
      </w:r>
      <w:r>
        <w:rPr>
          <w:rFonts w:ascii="Consolas" w:hAnsi="Consolas"/>
          <w:color w:val="0B5F53"/>
          <w:sz w:val="19"/>
        </w:rPr>
        <w:t>PermissionError</w:t>
      </w:r>
      <w:r>
        <w:rPr>
          <w:rFonts w:ascii="Calibri" w:hAnsi="Calibri"/>
          <w:color w:val="14171C"/>
          <w:sz w:val="21"/>
        </w:rPr>
        <w:t xml:space="preserve"> because the sandbox refuses writes inside the mode-0700 directories </w:t>
      </w:r>
      <w:r>
        <w:rPr>
          <w:rFonts w:ascii="Consolas" w:hAnsi="Consolas"/>
          <w:color w:val="0B5F53"/>
          <w:sz w:val="19"/>
        </w:rPr>
        <w:t>tempfile.mkdtemp()</w:t>
      </w:r>
      <w:r>
        <w:rPr>
          <w:rFonts w:ascii="Calibri" w:hAnsi="Calibri"/>
          <w:color w:val="14171C"/>
          <w:sz w:val="21"/>
        </w:rPr>
        <w:t xml:space="preserve"> creates. Flask and pytest were installed by fetching wheels from the PyPI JSON API and unzipping them. Later, generating this report's PDF required the same care: the sandbox blocks a Python process from spawning a piped child, so the DOCX is built by </w:t>
      </w:r>
      <w:r>
        <w:rPr>
          <w:rFonts w:ascii="Consolas" w:hAnsi="Consolas"/>
          <w:color w:val="0B5F53"/>
          <w:sz w:val="19"/>
        </w:rPr>
        <w:t>python-docx</w:t>
      </w:r>
      <w:r>
        <w:rPr>
          <w:rFonts w:ascii="Calibri" w:hAnsi="Calibri"/>
          <w:color w:val="14171C"/>
          <w:sz w:val="21"/>
        </w:rPr>
        <w:t xml:space="preserve"> and the PDF conversion runs with wider access.</w:t>
      </w:r>
    </w:p>
    <w:p>
      <w:r>
        <w:rPr>
          <w:rFonts w:ascii="Calibri" w:hAnsi="Calibri"/>
          <w:b/>
          <w:color w:val="14171C"/>
          <w:sz w:val="21"/>
        </w:rPr>
        <w:t>Browser verification.</w:t>
      </w:r>
      <w:r>
        <w:rPr>
          <w:rFonts w:ascii="Calibri" w:hAnsi="Calibri"/>
          <w:color w:val="14171C"/>
          <w:sz w:val="21"/>
        </w:rPr>
        <w:t xml:space="preserve"> Chromium's multi-process IPC needs named pipes, which the sandbox denies. Rather than ship an unverified </w:t>
      </w:r>
      <w:r>
        <w:rPr>
          <w:rFonts w:ascii="Consolas" w:hAnsi="Consolas"/>
          <w:color w:val="0B5F53"/>
          <w:sz w:val="19"/>
        </w:rPr>
        <w:t>&lt;style&gt;</w:t>
      </w:r>
      <w:r>
        <w:rPr>
          <w:rFonts w:ascii="Calibri" w:hAnsi="Calibri"/>
          <w:color w:val="14171C"/>
          <w:sz w:val="21"/>
        </w:rPr>
        <w:t xml:space="preserve"> rewrite, the layout was fixed by measuring the rendered page through the DevTools protocol: that is how a 34.6 px Status column (one letter per line) and a 27.1 px Loan column were found and corrected.</w:t>
      </w:r>
    </w:p>
    <w:p>
      <w:pPr>
        <w:pStyle w:val="Heading2"/>
      </w:pPr>
      <w:r>
        <w:t>11. Limitations</w:t>
      </w:r>
    </w:p>
    <w:tbl>
      <w:tblPr>
        <w:tblStyle w:val="TableGrid"/>
        <w:tblW w:type="auto" w:w="0"/>
        <w:jc w:val="center"/>
        <w:tblLook w:firstColumn="1" w:firstRow="1" w:lastColumn="0" w:lastRow="0" w:noHBand="0" w:noVBand="1" w:val="04A0"/>
      </w:tblPr>
      <w:tblGrid>
        <w:gridCol w:w="4975"/>
        <w:gridCol w:w="4975"/>
      </w:tblGrid>
      <w:tr>
        <w:tc>
          <w:tcPr>
            <w:tcW w:type="dxa" w:w="4975"/>
            <w:shd w:val="clear" w:color="auto" w:fill="E8F1EF"/>
          </w:tcPr>
          <w:p>
            <w:pPr>
              <w:spacing w:before="40" w:after="40"/>
            </w:pPr>
            <w:r/>
            <w:r>
              <w:rPr>
                <w:rFonts w:ascii="Calibri" w:hAnsi="Calibri"/>
                <w:b/>
                <w:color w:val="14171C"/>
                <w:sz w:val="15"/>
              </w:rPr>
              <w:t>Limitation</w:t>
            </w:r>
          </w:p>
        </w:tc>
        <w:tc>
          <w:tcPr>
            <w:tcW w:type="dxa" w:w="4975"/>
            <w:shd w:val="clear" w:color="auto" w:fill="E8F1EF"/>
          </w:tcPr>
          <w:p>
            <w:pPr>
              <w:spacing w:before="40" w:after="40"/>
            </w:pPr>
            <w:r/>
            <w:r>
              <w:rPr>
                <w:rFonts w:ascii="Calibri" w:hAnsi="Calibri"/>
                <w:b/>
                <w:color w:val="14171C"/>
                <w:sz w:val="15"/>
              </w:rPr>
              <w:t>Consequence</w:t>
            </w:r>
          </w:p>
        </w:tc>
      </w:tr>
      <w:tr>
        <w:tc>
          <w:tcPr>
            <w:tcW w:type="dxa" w:w="4975"/>
          </w:tcPr>
          <w:p>
            <w:pPr>
              <w:spacing w:before="40" w:after="40"/>
            </w:pPr>
            <w:r/>
            <w:r>
              <w:rPr>
                <w:rFonts w:ascii="Calibri" w:hAnsi="Calibri"/>
                <w:b w:val="0"/>
                <w:color w:val="14171C"/>
                <w:sz w:val="15"/>
              </w:rPr>
              <w:t>No price oracle</w:t>
            </w:r>
          </w:p>
        </w:tc>
        <w:tc>
          <w:tcPr>
            <w:tcW w:type="dxa" w:w="4975"/>
          </w:tcPr>
          <w:p>
            <w:pPr>
              <w:spacing w:before="40" w:after="40"/>
            </w:pPr>
            <w:r/>
            <w:r>
              <w:rPr>
                <w:rFonts w:ascii="Calibri" w:hAnsi="Calibri"/>
                <w:b w:val="0"/>
                <w:color w:val="14171C"/>
                <w:sz w:val="15"/>
              </w:rPr>
              <w:t>debt and collateral are both ETH-denominated, so there is no cross-asset liquidation and no health factor to monitor</w:t>
            </w:r>
          </w:p>
        </w:tc>
      </w:tr>
      <w:tr>
        <w:tc>
          <w:tcPr>
            <w:tcW w:type="dxa" w:w="4975"/>
            <w:shd w:val="clear" w:color="auto" w:fill="F7F9FA"/>
          </w:tcPr>
          <w:p>
            <w:pPr>
              <w:spacing w:before="40" w:after="40"/>
            </w:pPr>
            <w:r/>
            <w:r>
              <w:rPr>
                <w:rFonts w:ascii="Calibri" w:hAnsi="Calibri"/>
                <w:b w:val="0"/>
                <w:color w:val="14171C"/>
                <w:sz w:val="15"/>
              </w:rPr>
              <w:t>100 % collateral required by default</w:t>
            </w:r>
          </w:p>
        </w:tc>
        <w:tc>
          <w:tcPr>
            <w:tcW w:type="dxa" w:w="4975"/>
            <w:shd w:val="clear" w:color="auto" w:fill="F7F9FA"/>
          </w:tcPr>
          <w:p>
            <w:pPr>
              <w:spacing w:before="40" w:after="40"/>
            </w:pPr>
            <w:r/>
            <w:r>
              <w:rPr>
                <w:rFonts w:ascii="Calibri" w:hAnsi="Calibri"/>
                <w:b w:val="0"/>
                <w:color w:val="14171C"/>
                <w:sz w:val="15"/>
              </w:rPr>
              <w:t>capital-inefficient relative to pooled credit; lowering the floor to 50 % admits real bad debt, which the protocol books rather than reverts on</w:t>
            </w:r>
          </w:p>
        </w:tc>
      </w:tr>
      <w:tr>
        <w:tc>
          <w:tcPr>
            <w:tcW w:type="dxa" w:w="4975"/>
          </w:tcPr>
          <w:p>
            <w:pPr>
              <w:spacing w:before="40" w:after="40"/>
            </w:pPr>
            <w:r/>
            <w:r>
              <w:rPr>
                <w:rFonts w:ascii="Calibri" w:hAnsi="Calibri"/>
                <w:b w:val="0"/>
                <w:color w:val="14171C"/>
                <w:sz w:val="15"/>
              </w:rPr>
              <w:t>A single liquidity pool</w:t>
            </w:r>
          </w:p>
        </w:tc>
        <w:tc>
          <w:tcPr>
            <w:tcW w:type="dxa" w:w="4975"/>
          </w:tcPr>
          <w:p>
            <w:pPr>
              <w:spacing w:before="40" w:after="40"/>
            </w:pPr>
            <w:r/>
            <w:r>
              <w:rPr>
                <w:rFonts w:ascii="Calibri" w:hAnsi="Calibri"/>
                <w:b w:val="0"/>
                <w:color w:val="14171C"/>
                <w:sz w:val="15"/>
              </w:rPr>
              <w:t>suppliers cannot choose a risk tranche or a specific borrower</w:t>
            </w:r>
          </w:p>
        </w:tc>
      </w:tr>
      <w:tr>
        <w:tc>
          <w:tcPr>
            <w:tcW w:type="dxa" w:w="4975"/>
            <w:shd w:val="clear" w:color="auto" w:fill="F7F9FA"/>
          </w:tcPr>
          <w:p>
            <w:pPr>
              <w:spacing w:before="40" w:after="40"/>
            </w:pPr>
            <w:r/>
            <w:r>
              <w:rPr>
                <w:rFonts w:ascii="Calibri" w:hAnsi="Calibri"/>
                <w:b w:val="0"/>
                <w:color w:val="14171C"/>
                <w:sz w:val="15"/>
              </w:rPr>
              <w:t>Interest is fixed at origination</w:t>
            </w:r>
          </w:p>
        </w:tc>
        <w:tc>
          <w:tcPr>
            <w:tcW w:type="dxa" w:w="4975"/>
            <w:shd w:val="clear" w:color="auto" w:fill="F7F9FA"/>
          </w:tcPr>
          <w:p>
            <w:pPr>
              <w:spacing w:before="40" w:after="40"/>
            </w:pPr>
            <w:r/>
            <w:r>
              <w:rPr>
                <w:rFonts w:ascii="Calibri" w:hAnsi="Calibri"/>
                <w:b w:val="0"/>
                <w:color w:val="14171C"/>
                <w:sz w:val="15"/>
              </w:rPr>
              <w:t>no floating or utilisation-based rate</w:t>
            </w:r>
          </w:p>
        </w:tc>
      </w:tr>
      <w:tr>
        <w:tc>
          <w:tcPr>
            <w:tcW w:type="dxa" w:w="4975"/>
          </w:tcPr>
          <w:p>
            <w:pPr>
              <w:spacing w:before="40" w:after="40"/>
            </w:pPr>
            <w:r/>
            <w:r>
              <w:rPr>
                <w:rFonts w:ascii="Calibri" w:hAnsi="Calibri"/>
                <w:b w:val="0"/>
                <w:color w:val="14171C"/>
                <w:sz w:val="15"/>
              </w:rPr>
              <w:t>Pending loans have no timeout</w:t>
            </w:r>
          </w:p>
        </w:tc>
        <w:tc>
          <w:tcPr>
            <w:tcW w:type="dxa" w:w="4975"/>
          </w:tcPr>
          <w:p>
            <w:pPr>
              <w:spacing w:before="40" w:after="40"/>
            </w:pPr>
            <w:r/>
            <w:r>
              <w:rPr>
                <w:rFonts w:ascii="Calibri" w:hAnsi="Calibri"/>
                <w:b w:val="0"/>
                <w:color w:val="14171C"/>
                <w:sz w:val="15"/>
              </w:rPr>
              <w:t>a partly funded request locks the borrower's collateral until it is filled or cancelled while unfunded</w:t>
            </w:r>
          </w:p>
        </w:tc>
      </w:tr>
      <w:tr>
        <w:tc>
          <w:tcPr>
            <w:tcW w:type="dxa" w:w="4975"/>
            <w:shd w:val="clear" w:color="auto" w:fill="F7F9FA"/>
          </w:tcPr>
          <w:p>
            <w:pPr>
              <w:spacing w:before="40" w:after="40"/>
            </w:pPr>
            <w:r/>
            <w:r>
              <w:rPr>
                <w:rFonts w:ascii="Calibri" w:hAnsi="Calibri"/>
                <w:b w:val="0"/>
                <w:color w:val="14171C"/>
                <w:sz w:val="15"/>
              </w:rPr>
              <w:t>First-caller-wins `initialize`</w:t>
            </w:r>
          </w:p>
        </w:tc>
        <w:tc>
          <w:tcPr>
            <w:tcW w:type="dxa" w:w="4975"/>
            <w:shd w:val="clear" w:color="auto" w:fill="F7F9FA"/>
          </w:tcPr>
          <w:p>
            <w:pPr>
              <w:spacing w:before="40" w:after="40"/>
            </w:pPr>
            <w:r/>
            <w:r>
              <w:rPr>
                <w:rFonts w:ascii="Calibri" w:hAnsi="Calibri"/>
                <w:b w:val="0"/>
                <w:color w:val="14171C"/>
                <w:sz w:val="15"/>
              </w:rPr>
              <w:t>safe only if deployment initialises in the same run, which `scripts/deploy.js` does</w:t>
            </w:r>
          </w:p>
        </w:tc>
      </w:tr>
      <w:tr>
        <w:tc>
          <w:tcPr>
            <w:tcW w:type="dxa" w:w="4975"/>
          </w:tcPr>
          <w:p>
            <w:pPr>
              <w:spacing w:before="40" w:after="40"/>
            </w:pPr>
            <w:r/>
            <w:r>
              <w:rPr>
                <w:rFonts w:ascii="Calibri" w:hAnsi="Calibri"/>
                <w:b w:val="0"/>
                <w:color w:val="14171C"/>
                <w:sz w:val="15"/>
              </w:rPr>
              <w:t>Unaudited, testnet only</w:t>
            </w:r>
          </w:p>
        </w:tc>
        <w:tc>
          <w:tcPr>
            <w:tcW w:type="dxa" w:w="4975"/>
          </w:tcPr>
          <w:p>
            <w:pPr>
              <w:spacing w:before="40" w:after="40"/>
            </w:pPr>
            <w:r/>
            <w:r>
              <w:rPr>
                <w:rFonts w:ascii="Calibri" w:hAnsi="Calibri"/>
                <w:b w:val="0"/>
                <w:color w:val="14171C"/>
                <w:sz w:val="15"/>
              </w:rPr>
              <w:t>not suitable for mainnet or real funds</w:t>
            </w:r>
          </w:p>
        </w:tc>
      </w:tr>
      <w:tr>
        <w:tc>
          <w:tcPr>
            <w:tcW w:type="dxa" w:w="4975"/>
            <w:shd w:val="clear" w:color="auto" w:fill="F7F9FA"/>
          </w:tcPr>
          <w:p>
            <w:pPr>
              <w:spacing w:before="40" w:after="40"/>
            </w:pPr>
            <w:r/>
            <w:r>
              <w:rPr>
                <w:rFonts w:ascii="Calibri" w:hAnsi="Calibri"/>
                <w:b w:val="0"/>
                <w:color w:val="14171C"/>
                <w:sz w:val="15"/>
              </w:rPr>
              <w:t>No third-party audit, fuzzing or formal verification</w:t>
            </w:r>
          </w:p>
        </w:tc>
        <w:tc>
          <w:tcPr>
            <w:tcW w:type="dxa" w:w="4975"/>
            <w:shd w:val="clear" w:color="auto" w:fill="F7F9FA"/>
          </w:tcPr>
          <w:p>
            <w:pPr>
              <w:spacing w:before="40" w:after="40"/>
            </w:pPr>
            <w:r/>
            <w:r>
              <w:rPr>
                <w:rFonts w:ascii="Calibri" w:hAnsi="Calibri"/>
                <w:b w:val="0"/>
                <w:color w:val="14171C"/>
                <w:sz w:val="15"/>
              </w:rPr>
              <w:t>correctness rests on the test suite and adversarial review, not proof</w:t>
            </w:r>
          </w:p>
        </w:tc>
      </w:tr>
    </w:tbl>
    <w:p>
      <w:pPr>
        <w:spacing w:after="80"/>
      </w:pPr>
    </w:p>
    <w:p>
      <w:pPr>
        <w:pStyle w:val="Heading2"/>
      </w:pPr>
      <w:r>
        <w:t>12. Future Improvements</w:t>
      </w:r>
    </w:p>
    <w:tbl>
      <w:tblPr>
        <w:tblStyle w:val="TableGrid"/>
        <w:tblW w:type="auto" w:w="0"/>
        <w:jc w:val="center"/>
        <w:tblLook w:firstColumn="1" w:firstRow="1" w:lastColumn="0" w:lastRow="0" w:noHBand="0" w:noVBand="1" w:val="04A0"/>
      </w:tblPr>
      <w:tblGrid>
        <w:gridCol w:w="3317"/>
        <w:gridCol w:w="3317"/>
        <w:gridCol w:w="3317"/>
      </w:tblGrid>
      <w:tr>
        <w:tc>
          <w:tcPr>
            <w:tcW w:type="dxa" w:w="3317"/>
            <w:shd w:val="clear" w:color="auto" w:fill="E8F1EF"/>
          </w:tcPr>
          <w:p>
            <w:pPr>
              <w:spacing w:before="40" w:after="40"/>
            </w:pPr>
            <w:r/>
            <w:r>
              <w:rPr>
                <w:rFonts w:ascii="Calibri" w:hAnsi="Calibri"/>
                <w:b/>
                <w:color w:val="14171C"/>
                <w:sz w:val="15"/>
              </w:rPr>
              <w:t>Priority</w:t>
            </w:r>
          </w:p>
        </w:tc>
        <w:tc>
          <w:tcPr>
            <w:tcW w:type="dxa" w:w="3317"/>
            <w:shd w:val="clear" w:color="auto" w:fill="E8F1EF"/>
          </w:tcPr>
          <w:p>
            <w:pPr>
              <w:spacing w:before="40" w:after="40"/>
            </w:pPr>
            <w:r/>
            <w:r>
              <w:rPr>
                <w:rFonts w:ascii="Calibri" w:hAnsi="Calibri"/>
                <w:b/>
                <w:color w:val="14171C"/>
                <w:sz w:val="15"/>
              </w:rPr>
              <w:t>Improvement</w:t>
            </w:r>
          </w:p>
        </w:tc>
        <w:tc>
          <w:tcPr>
            <w:tcW w:type="dxa" w:w="3317"/>
            <w:shd w:val="clear" w:color="auto" w:fill="E8F1EF"/>
          </w:tcPr>
          <w:p>
            <w:pPr>
              <w:spacing w:before="40" w:after="40"/>
            </w:pPr>
            <w:r/>
            <w:r>
              <w:rPr>
                <w:rFonts w:ascii="Calibri" w:hAnsi="Calibri"/>
                <w:b/>
                <w:color w:val="14171C"/>
                <w:sz w:val="15"/>
              </w:rPr>
              <w:t>Why it matters</w:t>
            </w:r>
          </w:p>
        </w:tc>
      </w:tr>
      <w:tr>
        <w:tc>
          <w:tcPr>
            <w:tcW w:type="dxa" w:w="3317"/>
          </w:tcPr>
          <w:p>
            <w:pPr>
              <w:spacing w:before="40" w:after="40"/>
            </w:pPr>
            <w:r/>
            <w:r>
              <w:rPr>
                <w:rFonts w:ascii="Calibri" w:hAnsi="Calibri"/>
                <w:b w:val="0"/>
                <w:color w:val="14171C"/>
                <w:sz w:val="15"/>
              </w:rPr>
              <w:t>High</w:t>
            </w:r>
          </w:p>
        </w:tc>
        <w:tc>
          <w:tcPr>
            <w:tcW w:type="dxa" w:w="3317"/>
          </w:tcPr>
          <w:p>
            <w:pPr>
              <w:spacing w:before="40" w:after="40"/>
            </w:pPr>
            <w:r/>
            <w:r>
              <w:rPr>
                <w:rFonts w:ascii="Calibri" w:hAnsi="Calibri"/>
                <w:b w:val="0"/>
                <w:color w:val="14171C"/>
                <w:sz w:val="15"/>
              </w:rPr>
              <w:t>price feed plus a health factor, so collateral can be non-ETH</w:t>
            </w:r>
          </w:p>
        </w:tc>
        <w:tc>
          <w:tcPr>
            <w:tcW w:type="dxa" w:w="3317"/>
          </w:tcPr>
          <w:p>
            <w:pPr>
              <w:spacing w:before="40" w:after="40"/>
            </w:pPr>
            <w:r/>
            <w:r>
              <w:rPr>
                <w:rFonts w:ascii="Calibri" w:hAnsi="Calibri"/>
                <w:b w:val="0"/>
                <w:color w:val="14171C"/>
                <w:sz w:val="15"/>
              </w:rPr>
              <w:t>without it the protocol cannot serve assets that move against each other</w:t>
            </w:r>
          </w:p>
        </w:tc>
      </w:tr>
      <w:tr>
        <w:tc>
          <w:tcPr>
            <w:tcW w:type="dxa" w:w="3317"/>
            <w:shd w:val="clear" w:color="auto" w:fill="F7F9FA"/>
          </w:tcPr>
          <w:p>
            <w:pPr>
              <w:spacing w:before="40" w:after="40"/>
            </w:pPr>
            <w:r/>
            <w:r>
              <w:rPr>
                <w:rFonts w:ascii="Calibri" w:hAnsi="Calibri"/>
                <w:b w:val="0"/>
                <w:color w:val="14171C"/>
                <w:sz w:val="15"/>
              </w:rPr>
              <w:t>High</w:t>
            </w:r>
          </w:p>
        </w:tc>
        <w:tc>
          <w:tcPr>
            <w:tcW w:type="dxa" w:w="3317"/>
            <w:shd w:val="clear" w:color="auto" w:fill="F7F9FA"/>
          </w:tcPr>
          <w:p>
            <w:pPr>
              <w:spacing w:before="40" w:after="40"/>
            </w:pPr>
            <w:r/>
            <w:r>
              <w:rPr>
                <w:rFonts w:ascii="Calibri" w:hAnsi="Calibri"/>
                <w:b w:val="0"/>
                <w:color w:val="14171C"/>
                <w:sz w:val="15"/>
              </w:rPr>
              <w:t>timeout on a partly funded pending request, returning unused collateral</w:t>
            </w:r>
          </w:p>
        </w:tc>
        <w:tc>
          <w:tcPr>
            <w:tcW w:type="dxa" w:w="3317"/>
            <w:shd w:val="clear" w:color="auto" w:fill="F7F9FA"/>
          </w:tcPr>
          <w:p>
            <w:pPr>
              <w:spacing w:before="40" w:after="40"/>
            </w:pPr>
            <w:r/>
            <w:r>
              <w:rPr>
                <w:rFonts w:ascii="Calibri" w:hAnsi="Calibri"/>
                <w:b w:val="0"/>
                <w:color w:val="14171C"/>
                <w:sz w:val="15"/>
              </w:rPr>
              <w:t>removes the one state a borrower cannot exit (§11)</w:t>
            </w:r>
          </w:p>
        </w:tc>
      </w:tr>
      <w:tr>
        <w:tc>
          <w:tcPr>
            <w:tcW w:type="dxa" w:w="3317"/>
          </w:tcPr>
          <w:p>
            <w:pPr>
              <w:spacing w:before="40" w:after="40"/>
            </w:pPr>
            <w:r/>
            <w:r>
              <w:rPr>
                <w:rFonts w:ascii="Calibri" w:hAnsi="Calibri"/>
                <w:b w:val="0"/>
                <w:color w:val="14171C"/>
                <w:sz w:val="15"/>
              </w:rPr>
              <w:t>Medium</w:t>
            </w:r>
          </w:p>
        </w:tc>
        <w:tc>
          <w:tcPr>
            <w:tcW w:type="dxa" w:w="3317"/>
          </w:tcPr>
          <w:p>
            <w:pPr>
              <w:spacing w:before="40" w:after="40"/>
            </w:pPr>
            <w:r/>
            <w:r>
              <w:rPr>
                <w:rFonts w:ascii="Calibri" w:hAnsi="Calibri"/>
                <w:b w:val="0"/>
                <w:color w:val="14171C"/>
                <w:sz w:val="15"/>
              </w:rPr>
              <w:t>utilisation-based interest instead of a fixed rate</w:t>
            </w:r>
          </w:p>
        </w:tc>
        <w:tc>
          <w:tcPr>
            <w:tcW w:type="dxa" w:w="3317"/>
          </w:tcPr>
          <w:p>
            <w:pPr>
              <w:spacing w:before="40" w:after="40"/>
            </w:pPr>
            <w:r/>
            <w:r>
              <w:rPr>
                <w:rFonts w:ascii="Calibri" w:hAnsi="Calibri"/>
                <w:b w:val="0"/>
                <w:color w:val="14171C"/>
                <w:sz w:val="15"/>
              </w:rPr>
              <w:t>lets the pool price scarcity rather than relying on the borrower's offer</w:t>
            </w:r>
          </w:p>
        </w:tc>
      </w:tr>
      <w:tr>
        <w:tc>
          <w:tcPr>
            <w:tcW w:type="dxa" w:w="3317"/>
            <w:shd w:val="clear" w:color="auto" w:fill="F7F9FA"/>
          </w:tcPr>
          <w:p>
            <w:pPr>
              <w:spacing w:before="40" w:after="40"/>
            </w:pPr>
            <w:r/>
            <w:r>
              <w:rPr>
                <w:rFonts w:ascii="Calibri" w:hAnsi="Calibri"/>
                <w:b w:val="0"/>
                <w:color w:val="14171C"/>
                <w:sz w:val="15"/>
              </w:rPr>
              <w:t>Medium</w:t>
            </w:r>
          </w:p>
        </w:tc>
        <w:tc>
          <w:tcPr>
            <w:tcW w:type="dxa" w:w="3317"/>
            <w:shd w:val="clear" w:color="auto" w:fill="F7F9FA"/>
          </w:tcPr>
          <w:p>
            <w:pPr>
              <w:spacing w:before="40" w:after="40"/>
            </w:pPr>
            <w:r/>
            <w:r>
              <w:rPr>
                <w:rFonts w:ascii="Calibri" w:hAnsi="Calibri"/>
                <w:b w:val="0"/>
                <w:color w:val="14171C"/>
                <w:sz w:val="15"/>
              </w:rPr>
              <w:t>risk tranches for suppliers</w:t>
            </w:r>
          </w:p>
        </w:tc>
        <w:tc>
          <w:tcPr>
            <w:tcW w:type="dxa" w:w="3317"/>
            <w:shd w:val="clear" w:color="auto" w:fill="F7F9FA"/>
          </w:tcPr>
          <w:p>
            <w:pPr>
              <w:spacing w:before="40" w:after="40"/>
            </w:pPr>
            <w:r/>
            <w:r>
              <w:rPr>
                <w:rFonts w:ascii="Calibri" w:hAnsi="Calibri"/>
                <w:b w:val="0"/>
                <w:color w:val="14171C"/>
                <w:sz w:val="15"/>
              </w:rPr>
              <w:t>a single pool forces every supplier to accept the same default exposure</w:t>
            </w:r>
          </w:p>
        </w:tc>
      </w:tr>
      <w:tr>
        <w:tc>
          <w:tcPr>
            <w:tcW w:type="dxa" w:w="3317"/>
          </w:tcPr>
          <w:p>
            <w:pPr>
              <w:spacing w:before="40" w:after="40"/>
            </w:pPr>
            <w:r/>
            <w:r>
              <w:rPr>
                <w:rFonts w:ascii="Calibri" w:hAnsi="Calibri"/>
                <w:b w:val="0"/>
                <w:color w:val="14171C"/>
                <w:sz w:val="15"/>
              </w:rPr>
              <w:t>Medium</w:t>
            </w:r>
          </w:p>
        </w:tc>
        <w:tc>
          <w:tcPr>
            <w:tcW w:type="dxa" w:w="3317"/>
          </w:tcPr>
          <w:p>
            <w:pPr>
              <w:spacing w:before="40" w:after="40"/>
            </w:pPr>
            <w:r/>
            <w:r>
              <w:rPr>
                <w:rFonts w:ascii="Calibri" w:hAnsi="Calibri"/>
                <w:b w:val="0"/>
                <w:color w:val="14171C"/>
                <w:sz w:val="15"/>
              </w:rPr>
              <w:t>factory deployment with `initialize` in the constructor</w:t>
            </w:r>
          </w:p>
        </w:tc>
        <w:tc>
          <w:tcPr>
            <w:tcW w:type="dxa" w:w="3317"/>
          </w:tcPr>
          <w:p>
            <w:pPr>
              <w:spacing w:before="40" w:after="40"/>
            </w:pPr>
            <w:r/>
            <w:r>
              <w:rPr>
                <w:rFonts w:ascii="Calibri" w:hAnsi="Calibri"/>
                <w:b w:val="0"/>
                <w:color w:val="14171C"/>
                <w:sz w:val="15"/>
              </w:rPr>
              <w:t>closes the first-caller-wins window by construction</w:t>
            </w:r>
          </w:p>
        </w:tc>
      </w:tr>
      <w:tr>
        <w:tc>
          <w:tcPr>
            <w:tcW w:type="dxa" w:w="3317"/>
            <w:shd w:val="clear" w:color="auto" w:fill="F7F9FA"/>
          </w:tcPr>
          <w:p>
            <w:pPr>
              <w:spacing w:before="40" w:after="40"/>
            </w:pPr>
            <w:r/>
            <w:r>
              <w:rPr>
                <w:rFonts w:ascii="Calibri" w:hAnsi="Calibri"/>
                <w:b w:val="0"/>
                <w:color w:val="14171C"/>
                <w:sz w:val="15"/>
              </w:rPr>
              <w:t>Low</w:t>
            </w:r>
          </w:p>
        </w:tc>
        <w:tc>
          <w:tcPr>
            <w:tcW w:type="dxa" w:w="3317"/>
            <w:shd w:val="clear" w:color="auto" w:fill="F7F9FA"/>
          </w:tcPr>
          <w:p>
            <w:pPr>
              <w:spacing w:before="40" w:after="40"/>
            </w:pPr>
            <w:r/>
            <w:r>
              <w:rPr>
                <w:rFonts w:ascii="Calibri" w:hAnsi="Calibri"/>
                <w:b w:val="0"/>
                <w:color w:val="14171C"/>
                <w:sz w:val="15"/>
              </w:rPr>
              <w:t>ERC-20 or NFT receipt for a share or a loan</w:t>
            </w:r>
          </w:p>
        </w:tc>
        <w:tc>
          <w:tcPr>
            <w:tcW w:type="dxa" w:w="3317"/>
            <w:shd w:val="clear" w:color="auto" w:fill="F7F9FA"/>
          </w:tcPr>
          <w:p>
            <w:pPr>
              <w:spacing w:before="40" w:after="40"/>
            </w:pPr>
            <w:r/>
            <w:r>
              <w:rPr>
                <w:rFonts w:ascii="Calibri" w:hAnsi="Calibri"/>
                <w:b w:val="0"/>
                <w:color w:val="14171C"/>
                <w:sz w:val="15"/>
              </w:rPr>
              <w:t>composability with other DeFi protocols, at the cost of an extra trust surface</w:t>
            </w:r>
          </w:p>
        </w:tc>
      </w:tr>
      <w:tr>
        <w:tc>
          <w:tcPr>
            <w:tcW w:type="dxa" w:w="3317"/>
          </w:tcPr>
          <w:p>
            <w:pPr>
              <w:spacing w:before="40" w:after="40"/>
            </w:pPr>
            <w:r/>
            <w:r>
              <w:rPr>
                <w:rFonts w:ascii="Calibri" w:hAnsi="Calibri"/>
                <w:b w:val="0"/>
                <w:color w:val="14171C"/>
                <w:sz w:val="15"/>
              </w:rPr>
              <w:t>Low</w:t>
            </w:r>
          </w:p>
        </w:tc>
        <w:tc>
          <w:tcPr>
            <w:tcW w:type="dxa" w:w="3317"/>
          </w:tcPr>
          <w:p>
            <w:pPr>
              <w:spacing w:before="40" w:after="40"/>
            </w:pPr>
            <w:r/>
            <w:r>
              <w:rPr>
                <w:rFonts w:ascii="Calibri" w:hAnsi="Calibri"/>
                <w:b w:val="0"/>
                <w:color w:val="14171C"/>
                <w:sz w:val="15"/>
              </w:rPr>
              <w:t>subgraph or websocket indexing</w:t>
            </w:r>
          </w:p>
        </w:tc>
        <w:tc>
          <w:tcPr>
            <w:tcW w:type="dxa" w:w="3317"/>
          </w:tcPr>
          <w:p>
            <w:pPr>
              <w:spacing w:before="40" w:after="40"/>
            </w:pPr>
            <w:r/>
            <w:r>
              <w:rPr>
                <w:rFonts w:ascii="Calibri" w:hAnsi="Calibri"/>
                <w:b w:val="0"/>
                <w:color w:val="14171C"/>
                <w:sz w:val="15"/>
              </w:rPr>
              <w:t>near-real-time history without polling receipts</w:t>
            </w:r>
          </w:p>
        </w:tc>
      </w:tr>
    </w:tbl>
    <w:p>
      <w:pPr>
        <w:spacing w:after="80"/>
      </w:pPr>
    </w:p>
    <w:p>
      <w:r>
        <w:rPr>
          <w:rFonts w:ascii="Calibri" w:hAnsi="Calibri"/>
          <w:color w:val="14171C"/>
          <w:sz w:val="21"/>
        </w:rPr>
        <w:t>The first two are the ones that would change what the protocol can safely be used for; the rest are refinements of an already working system.</w:t>
      </w:r>
    </w:p>
    <w:p>
      <w:pPr>
        <w:pStyle w:val="Heading2"/>
      </w:pPr>
      <w:r>
        <w:t>13. Conclusion</w:t>
      </w:r>
    </w:p>
    <w:p>
      <w:r>
        <w:rPr>
          <w:rFonts w:ascii="Calibri" w:hAnsi="Calibri"/>
          <w:color w:val="14171C"/>
          <w:sz w:val="21"/>
        </w:rPr>
        <w:t>MicroLend implements a complete, working credit market: suppliers earn interest from a pooled balance whose share price they can verify; borrowers obtain fixed-rate ETH loans against collateral; overdue loans are liquidated with the residual going to the borrower and any shortfall booked explicitly against suppliers rather than hidden.</w:t>
      </w:r>
    </w:p>
    <w:p>
      <w:r>
        <w:rPr>
          <w:rFonts w:ascii="Calibri" w:hAnsi="Calibri"/>
          <w:color w:val="14171C"/>
          <w:sz w:val="21"/>
        </w:rPr>
        <w:t>The project met each objective in §3 with executed evidence — 811 contract assertions on a real EVM, 122 backend tests, two client suites, and a 38-check end-to-end run in which a live chain and a live API together decoded and indexed a real transaction. The client works with an unmodified MetaMask wallet and equally in an offline demo that mirrors the contract to the wei.</w:t>
      </w:r>
    </w:p>
    <w:p>
      <w:r>
        <w:rPr>
          <w:rFonts w:ascii="Calibri" w:hAnsi="Calibri"/>
          <w:color w:val="14171C"/>
          <w:sz w:val="21"/>
        </w:rPr>
        <w:t>The most useful outcome was not a passing test but a failing one. Independent review found that settlement credited the disbursed principal twice, so the contract promised more than it held and the sole supplier could not withdraw in full. Fixing it produced the invariant the whole suite now enforces. A protocol that cannot be audited by the person whose money is at risk is not finished, and the discipline of asserting that identity after every scenario is what closed the gap between "it compiles" and "it is correct".</w:t>
      </w:r>
    </w:p>
    <w:p>
      <w:pPr>
        <w:pStyle w:val="Heading2"/>
      </w:pPr>
      <w:r>
        <w:t>References</w:t>
      </w:r>
    </w:p>
    <w:p>
      <w:pPr>
        <w:pStyle w:val="ListNumber"/>
        <w:spacing w:after="60"/>
      </w:pPr>
      <w:r>
        <w:rPr>
          <w:rFonts w:ascii="Calibri" w:hAnsi="Calibri"/>
          <w:color w:val="14171C"/>
          <w:sz w:val="21"/>
        </w:rPr>
        <w:t>Ethereum Foundation. *Solidity documentation*, v0.8.24. https://docs.soliditylang.org</w:t>
      </w:r>
    </w:p>
    <w:p>
      <w:pPr>
        <w:pStyle w:val="ListNumber"/>
        <w:spacing w:after="60"/>
      </w:pPr>
      <w:r>
        <w:rPr>
          <w:rFonts w:ascii="Calibri" w:hAnsi="Calibri"/>
          <w:color w:val="14171C"/>
          <w:sz w:val="21"/>
        </w:rPr>
        <w:t>Ethereum Foundation. *Ethereum yellow paper* (Wood, G., 2014) — the EVM and gas accounting.</w:t>
      </w:r>
    </w:p>
    <w:p>
      <w:pPr>
        <w:pStyle w:val="ListNumber"/>
        <w:spacing w:after="60"/>
      </w:pPr>
      <w:r>
        <w:rPr>
          <w:rFonts w:ascii="Calibri" w:hAnsi="Calibri"/>
          <w:color w:val="14171C"/>
          <w:sz w:val="21"/>
        </w:rPr>
        <w:t>EIP-20 / EIP-4626. *Token standard* and *tokenised vault standard* — the share-accounting model</w:t>
      </w:r>
    </w:p>
    <w:p>
      <w:r>
        <w:rPr>
          <w:rFonts w:ascii="Calibri" w:hAnsi="Calibri"/>
          <w:color w:val="14171C"/>
          <w:sz w:val="21"/>
        </w:rPr>
        <w:t>and the donation-attack rationale the dead-share guard is drawn from.</w:t>
      </w:r>
    </w:p>
    <w:p>
      <w:pPr>
        <w:pStyle w:val="ListNumber"/>
        <w:spacing w:after="60"/>
      </w:pPr>
      <w:r>
        <w:rPr>
          <w:rFonts w:ascii="Calibri" w:hAnsi="Calibri"/>
          <w:color w:val="14171C"/>
          <w:sz w:val="21"/>
        </w:rPr>
        <w:t>OWASP. *Smart contract security verification standard* — reentrancy, access control and</w:t>
      </w:r>
    </w:p>
    <w:p>
      <w:r>
        <w:rPr>
          <w:rFonts w:ascii="Calibri" w:hAnsi="Calibri"/>
          <w:color w:val="14171C"/>
          <w:sz w:val="21"/>
        </w:rPr>
        <w:t>arithmetic guidance.</w:t>
      </w:r>
    </w:p>
    <w:p>
      <w:pPr>
        <w:pStyle w:val="ListNumber"/>
        <w:spacing w:after="60"/>
      </w:pPr>
      <w:r>
        <w:rPr>
          <w:rFonts w:ascii="Calibri" w:hAnsi="Calibri"/>
          <w:color w:val="14171C"/>
          <w:sz w:val="21"/>
        </w:rPr>
        <w:t>Buterin, V. et al. *Ethereum whitepaper* (2014).</w:t>
      </w:r>
    </w:p>
    <w:p>
      <w:pPr>
        <w:pStyle w:val="ListNumber"/>
        <w:spacing w:after="60"/>
      </w:pPr>
      <w:r>
        <w:rPr>
          <w:rFonts w:ascii="Calibri" w:hAnsi="Calibri"/>
          <w:color w:val="14171C"/>
          <w:sz w:val="21"/>
        </w:rPr>
        <w:t>ethers.js v6 and Flask documentation — the client and service libraries used here.</w:t>
      </w:r>
    </w:p>
    <w:p>
      <w:pPr>
        <w:pStyle w:val="ListNumber"/>
        <w:spacing w:after="60"/>
      </w:pPr>
      <w:r>
        <w:rPr>
          <w:rFonts w:ascii="Calibri" w:hAnsi="Calibri"/>
          <w:color w:val="14171C"/>
          <w:sz w:val="21"/>
        </w:rPr>
        <w:t xml:space="preserve">MicroLend project documents: </w:t>
      </w:r>
      <w:r>
        <w:rPr>
          <w:rFonts w:ascii="Consolas" w:hAnsi="Consolas"/>
          <w:color w:val="0B5F53"/>
          <w:sz w:val="19"/>
        </w:rPr>
        <w:t>docs/INTEGRATION_SPEC.md</w:t>
      </w:r>
      <w:r>
        <w:rPr>
          <w:rFonts w:ascii="Calibri" w:hAnsi="Calibri"/>
          <w:color w:val="14171C"/>
          <w:sz w:val="21"/>
        </w:rPr>
        <w:t xml:space="preserve"> (frozen interface),</w:t>
      </w:r>
    </w:p>
    <w:p>
      <w:r>
        <w:rPr>
          <w:rFonts w:ascii="Consolas" w:hAnsi="Consolas"/>
          <w:color w:val="0B5F53"/>
          <w:sz w:val="19"/>
        </w:rPr>
        <w:t>docs/TESTING.md</w:t>
      </w:r>
      <w:r>
        <w:rPr>
          <w:rFonts w:ascii="Calibri" w:hAnsi="Calibri"/>
          <w:color w:val="14171C"/>
          <w:sz w:val="21"/>
        </w:rPr>
        <w:t xml:space="preserve"> (raw evidence and findings), </w:t>
      </w:r>
      <w:r>
        <w:rPr>
          <w:rFonts w:ascii="Consolas" w:hAnsi="Consolas"/>
          <w:color w:val="0B5F53"/>
          <w:sz w:val="19"/>
        </w:rPr>
        <w:t>docs/CHANGELOG.md</w:t>
      </w:r>
      <w:r>
        <w:rPr>
          <w:rFonts w:ascii="Calibri" w:hAnsi="Calibri"/>
          <w:color w:val="14171C"/>
          <w:sz w:val="21"/>
        </w:rPr>
        <w:t xml:space="preserve"> (defect history), </w:t>
      </w:r>
      <w:r>
        <w:rPr>
          <w:rFonts w:ascii="Consolas" w:hAnsi="Consolas"/>
          <w:color w:val="0B5F53"/>
          <w:sz w:val="19"/>
        </w:rPr>
        <w:t>docs/E2E-VERIFICATION.md</w:t>
      </w:r>
      <w:r>
        <w:rPr>
          <w:rFonts w:ascii="Calibri" w:hAnsi="Calibri"/>
          <w:color w:val="14171C"/>
          <w:sz w:val="21"/>
        </w:rPr>
        <w:t xml:space="preserve"> (live end-to-end run).</w:t>
      </w:r>
    </w:p>
    <w:sectPr w:rsidR="00FC693F" w:rsidRPr="0006063C" w:rsidSect="00034616">
      <w:footerReference w:type="default" r:id="rId11"/>
      <w:pgSz w:w="11909" w:h="16834"/>
      <w:pgMar w:top="792" w:right="979" w:bottom="72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A6372"/>
        <w:sz w:val="17"/>
      </w:rPr>
      <w:t xml:space="preserve">Page </w:t>
    </w:r>
    <w:r>
      <w:rPr>
        <w:rFonts w:ascii="Calibri" w:hAnsi="Calibri"/>
        <w:color w:val="5A6372"/>
        <w:sz w:val="14"/>
      </w:rPr>
      <w:fldChar w:fldCharType="begin"/>
      <w:instrText xml:space="preserve">PAGE</w:instrText>
      <w:fldChar w:fldCharType="end"/>
    </w:r>
    <w:r>
      <w:rPr>
        <w:rFonts w:ascii="Calibri" w:hAnsi="Calibri"/>
        <w:color w:val="5A6372"/>
        <w:sz w:val="17"/>
      </w:rPr>
      <w:t xml:space="preserve"> of </w:t>
    </w:r>
    <w:r>
      <w:rPr>
        <w:rFonts w:ascii="Calibri" w:hAnsi="Calibri"/>
        <w:color w:val="5A6372"/>
        <w:sz w:val="14"/>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Calibri" w:hAnsi="Calibri"/>
      <w:color w:val="14171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4171C"/>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0B5F53"/>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4171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