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after="0" w:line="240" w:lineRule="auto"/>
        <w:jc w:val="center"/>
        <w:textAlignment w:val="center"/>
        <w:rPr>
          <w:rFonts w:ascii="Calibri" w:hAnsi="Calibri" w:eastAsia="Times New Roman" w:cs="Calibri"/>
          <w:lang w:eastAsia="en-GB"/>
        </w:rPr>
      </w:pPr>
      <w:r>
        <w:rPr>
          <w:rFonts w:ascii="Calibri" w:hAnsi="Calibri" w:eastAsia="Times New Roman" w:cs="Calibri"/>
          <w:b/>
          <w:bCs/>
          <w:lang w:eastAsia="en-GB"/>
        </w:rPr>
        <w:t>Big O</w:t>
      </w:r>
    </w:p>
    <w:p>
      <w:pPr>
        <w:numPr>
          <w:numId w:val="0"/>
        </w:numPr>
        <w:spacing w:after="0" w:line="240" w:lineRule="auto"/>
        <w:textAlignment w:val="center"/>
        <w:rPr>
          <w:rFonts w:ascii="Calibri" w:hAnsi="Calibri" w:eastAsia="Times New Roman" w:cs="Calibri"/>
          <w:lang w:eastAsia="en-GB"/>
        </w:rPr>
      </w:pPr>
      <w:r>
        <w:rPr>
          <w:rFonts w:ascii="Calibri" w:hAnsi="Calibri" w:eastAsia="Times New Roman" w:cs="Calibri"/>
          <w:lang w:eastAsia="en-GB"/>
        </w:rPr>
        <w:t>The “ big-Oh” notation is widely used: we say that f (N ) is O(g (N )) if there exist constants c and N0 such that | f (N )| &lt; c g (N ) for all N &gt; N0. This notation is very useful in providing asymptotic upper bounds on the performance of algorithms, which is important in the theory of algorithms. But it is not useful for predicting performance or for comparing algorithms.</w:t>
      </w:r>
    </w:p>
    <w:p>
      <w:pPr>
        <w:spacing w:after="0" w:line="240" w:lineRule="auto"/>
        <w:rPr>
          <w:rFonts w:ascii="Calibri" w:hAnsi="Calibri" w:eastAsia="Times New Roman" w:cs="Calibri"/>
          <w:sz w:val="24"/>
          <w:szCs w:val="24"/>
          <w:lang w:eastAsia="en-GB"/>
        </w:rPr>
      </w:pPr>
      <w:r>
        <w:rPr>
          <w:rFonts w:ascii="Calibri" w:hAnsi="Calibri" w:eastAsia="Times New Roman" w:cs="Calibri"/>
          <w:b/>
          <w:bCs/>
          <w:sz w:val="24"/>
          <w:szCs w:val="24"/>
          <w:lang w:eastAsia="en-GB"/>
        </w:rPr>
        <w:t xml:space="preserve">Q. Why not? </w:t>
      </w:r>
    </w:p>
    <w:p>
      <w:pPr>
        <w:rPr>
          <w:rFonts w:ascii="Calibri" w:hAnsi="Calibri" w:eastAsia="Times New Roman" w:cs="Calibri"/>
          <w:lang w:eastAsia="en-GB"/>
        </w:rPr>
      </w:pPr>
      <w:r>
        <w:rPr>
          <w:rFonts w:ascii="Calibri" w:hAnsi="Calibri" w:eastAsia="Times New Roman" w:cs="Calibri"/>
          <w:lang w:eastAsia="en-GB"/>
        </w:rPr>
        <w:t>A. The primary reason is that it describes only an upper bound on the running time. Actual</w:t>
      </w:r>
      <w:r>
        <w:rPr>
          <w:rFonts w:hint="eastAsia" w:ascii="Calibri" w:hAnsi="Calibri" w:eastAsia="宋体" w:cs="Calibri"/>
          <w:lang w:val="en-US" w:eastAsia="zh-CN"/>
        </w:rPr>
        <w:t xml:space="preserve"> </w:t>
      </w:r>
      <w:r>
        <w:rPr>
          <w:rFonts w:ascii="Calibri" w:hAnsi="Calibri" w:eastAsia="Times New Roman" w:cs="Calibri"/>
          <w:lang w:eastAsia="en-GB"/>
        </w:rPr>
        <w:t>performance might be much better. The running time of an algorithm might be both O (N 2) and ~ a N log N. As a result, it cannot be used to justify tests like our doubling ratio test</w:t>
      </w:r>
    </w:p>
    <w:p>
      <w:pPr>
        <w:spacing w:after="0" w:line="240" w:lineRule="auto"/>
        <w:rPr>
          <w:rFonts w:ascii="Calibri" w:hAnsi="Calibri" w:eastAsia="Times New Roman" w:cs="Calibri"/>
          <w:sz w:val="24"/>
          <w:szCs w:val="24"/>
          <w:lang w:eastAsia="en-GB"/>
        </w:rPr>
      </w:pPr>
      <w:r>
        <w:rPr>
          <w:rFonts w:ascii="Calibri" w:hAnsi="Calibri" w:eastAsia="Times New Roman" w:cs="Calibri"/>
          <w:b/>
          <w:bCs/>
          <w:sz w:val="24"/>
          <w:szCs w:val="24"/>
          <w:lang w:eastAsia="en-GB"/>
        </w:rPr>
        <w:t xml:space="preserve">Q. </w:t>
      </w:r>
      <w:r>
        <w:rPr>
          <w:rFonts w:hint="eastAsia" w:ascii="Calibri" w:hAnsi="Calibri" w:eastAsia="宋体" w:cs="Calibri"/>
          <w:b/>
          <w:bCs/>
          <w:sz w:val="24"/>
          <w:szCs w:val="24"/>
          <w:lang w:val="en-US" w:eastAsia="zh-CN"/>
        </w:rPr>
        <w:t>So why is the big O notation so widely used</w:t>
      </w:r>
      <w:r>
        <w:rPr>
          <w:rFonts w:ascii="Calibri" w:hAnsi="Calibri" w:eastAsia="Times New Roman" w:cs="Calibri"/>
          <w:b/>
          <w:bCs/>
          <w:sz w:val="24"/>
          <w:szCs w:val="24"/>
          <w:lang w:eastAsia="en-GB"/>
        </w:rPr>
        <w:t xml:space="preserve">? </w:t>
      </w:r>
    </w:p>
    <w:p>
      <w:pPr>
        <w:spacing w:after="0" w:line="240" w:lineRule="auto"/>
        <w:rPr>
          <w:rFonts w:ascii="Calibri" w:hAnsi="Calibri" w:eastAsia="Times New Roman" w:cs="Calibri"/>
          <w:b/>
          <w:bCs/>
          <w:highlight w:val="none"/>
          <w:lang w:eastAsia="en-GB"/>
        </w:rPr>
      </w:pPr>
      <w:r>
        <w:rPr>
          <w:rFonts w:ascii="Calibri" w:hAnsi="Calibri" w:eastAsia="Times New Roman" w:cs="Calibri"/>
          <w:lang w:eastAsia="en-GB"/>
        </w:rPr>
        <w:t>A. It facilitates development of bounds on the order of growth, even for complicated</w:t>
      </w:r>
      <w:r>
        <w:rPr>
          <w:rFonts w:hint="eastAsia" w:ascii="Calibri" w:hAnsi="Calibri" w:eastAsia="宋体" w:cs="Calibri"/>
          <w:lang w:val="en-US" w:eastAsia="zh-CN"/>
        </w:rPr>
        <w:t xml:space="preserve"> </w:t>
      </w:r>
      <w:r>
        <w:rPr>
          <w:rFonts w:ascii="Calibri" w:hAnsi="Calibri" w:eastAsia="Times New Roman" w:cs="Calibri"/>
          <w:lang w:eastAsia="en-GB"/>
        </w:rPr>
        <w:t xml:space="preserve">algorithms for which more precise analysis might not be feasible. </w:t>
      </w:r>
      <w:r>
        <w:rPr>
          <w:rFonts w:ascii="Calibri" w:hAnsi="Calibri" w:eastAsia="Times New Roman" w:cs="Calibri"/>
          <w:b/>
          <w:bCs/>
          <w:highlight w:val="none"/>
          <w:lang w:eastAsia="en-GB"/>
        </w:rPr>
        <w:t xml:space="preserve">Moreover, it is compatible with the “ big-Omega” and “ big-Theta” notations that theoretical computer scientists use to classify algorithms by bounding their worst-case performance. </w:t>
      </w:r>
    </w:p>
    <w:p>
      <w:pPr>
        <w:numPr>
          <w:numId w:val="0"/>
        </w:numPr>
        <w:spacing w:after="0" w:line="240" w:lineRule="auto"/>
        <w:textAlignment w:val="center"/>
        <w:rPr>
          <w:rFonts w:ascii="Calibri" w:hAnsi="Calibri" w:eastAsia="Times New Roman" w:cs="Calibri"/>
          <w:lang w:eastAsia="en-GB"/>
        </w:rPr>
      </w:pPr>
      <w:r>
        <w:rPr>
          <w:rFonts w:ascii="Calibri" w:hAnsi="Calibri" w:eastAsia="Times New Roman" w:cs="Calibri"/>
          <w:lang w:eastAsia="en-GB"/>
        </w:rPr>
        <w:t> </w:t>
      </w:r>
    </w:p>
    <w:p>
      <w:pPr>
        <w:numPr>
          <w:numId w:val="0"/>
        </w:numPr>
        <w:spacing w:after="0" w:line="240" w:lineRule="auto"/>
        <w:textAlignment w:val="center"/>
        <w:rPr>
          <w:rFonts w:ascii="Calibri" w:hAnsi="Calibri" w:eastAsia="Times New Roman" w:cs="Calibri"/>
          <w:lang w:eastAsia="en-GB"/>
        </w:rPr>
      </w:pPr>
      <w:r>
        <w:rPr>
          <w:rFonts w:ascii="Calibri" w:hAnsi="Calibri" w:eastAsia="Times New Roman" w:cs="Calibri"/>
          <w:lang w:eastAsia="en-GB"/>
        </w:rPr>
        <w:t>The “big</w:t>
      </w:r>
      <w:r>
        <w:rPr>
          <w:rFonts w:hint="eastAsia" w:ascii="Calibri" w:hAnsi="Calibri" w:eastAsia="宋体" w:cs="Calibri"/>
          <w:lang w:val="en-US" w:eastAsia="zh-CN"/>
        </w:rPr>
        <w:t xml:space="preserve"> </w:t>
      </w:r>
      <w:r>
        <w:rPr>
          <w:rFonts w:ascii="Calibri" w:hAnsi="Calibri" w:eastAsia="Times New Roman" w:cs="Calibri"/>
          <w:lang w:eastAsia="en-GB"/>
        </w:rPr>
        <w:t>Omega” notation is typically used to describe a lower bound on the worst case</w:t>
      </w:r>
    </w:p>
    <w:p>
      <w:pPr>
        <w:numPr>
          <w:numId w:val="0"/>
        </w:numPr>
        <w:spacing w:after="0" w:line="240" w:lineRule="auto"/>
        <w:textAlignment w:val="center"/>
        <w:rPr>
          <w:rFonts w:ascii="Calibri" w:hAnsi="Calibri" w:eastAsia="Times New Roman" w:cs="Calibri"/>
          <w:lang w:eastAsia="en-GB"/>
        </w:rPr>
      </w:pPr>
    </w:p>
    <w:p>
      <w:pPr>
        <w:rPr>
          <w:rFonts w:ascii="Calibri" w:hAnsi="Calibri" w:eastAsia="Times New Roman" w:cs="Calibri"/>
          <w:lang w:eastAsia="en-GB"/>
        </w:rPr>
      </w:pPr>
      <w:r>
        <w:rPr>
          <w:rFonts w:hint="eastAsia" w:ascii="Calibri" w:hAnsi="Calibri" w:eastAsia="宋体" w:cs="Calibri"/>
          <w:lang w:val="en-US" w:eastAsia="zh-CN"/>
        </w:rPr>
        <w:t xml:space="preserve">The </w:t>
      </w:r>
      <w:r>
        <w:rPr>
          <w:rFonts w:ascii="Calibri" w:hAnsi="Calibri" w:eastAsia="Times New Roman" w:cs="Calibri"/>
          <w:lang w:eastAsia="en-GB"/>
        </w:rPr>
        <w:t xml:space="preserve">“big-Theta” notation is typically used to describe the performance of algorithms that are optimal in the sense that no algorithm can have better asymptotic worst-case order of growth. </w:t>
      </w:r>
    </w:p>
    <w:p>
      <w:pPr>
        <w:jc w:val="center"/>
        <w:rPr>
          <w:rFonts w:hint="eastAsia" w:ascii="Calibri" w:hAnsi="Calibri" w:eastAsia="宋体" w:cs="Calibri"/>
          <w:b/>
          <w:bCs/>
          <w:lang w:val="en-US" w:eastAsia="zh-CN"/>
        </w:rPr>
      </w:pPr>
      <w:r>
        <w:rPr>
          <w:rFonts w:ascii="Calibri" w:hAnsi="Calibri" w:eastAsia="Times New Roman" w:cs="Calibri"/>
          <w:b/>
          <w:bCs/>
          <w:lang w:eastAsia="en-GB"/>
        </w:rPr>
        <w:t>Big O</w:t>
      </w:r>
      <w:r>
        <w:rPr>
          <w:rFonts w:hint="eastAsia" w:ascii="Calibri" w:hAnsi="Calibri" w:eastAsia="宋体" w:cs="Calibri"/>
          <w:b/>
          <w:bCs/>
          <w:lang w:val="en-US" w:eastAsia="zh-CN"/>
        </w:rPr>
        <w:t>mega</w:t>
      </w:r>
    </w:p>
    <w:p>
      <w:pPr>
        <w:numPr>
          <w:numId w:val="0"/>
        </w:numPr>
        <w:spacing w:after="0" w:line="240" w:lineRule="auto"/>
        <w:textAlignment w:val="center"/>
        <w:rPr>
          <w:rFonts w:hint="default" w:eastAsia="Times New Roman" w:cs="Calibri" w:asciiTheme="minorAscii" w:hAnsiTheme="minorAscii"/>
          <w:color w:val="242729"/>
          <w:sz w:val="22"/>
          <w:szCs w:val="22"/>
          <w:shd w:val="clear" w:color="auto" w:fill="FFFFFF"/>
          <w:lang w:eastAsia="en-GB"/>
        </w:rPr>
      </w:pPr>
      <w:r>
        <w:rPr>
          <w:rFonts w:hint="default" w:eastAsia="Times New Roman" w:cs="Calibri" w:asciiTheme="minorAscii" w:hAnsiTheme="minorAscii"/>
          <w:color w:val="242729"/>
          <w:sz w:val="22"/>
          <w:szCs w:val="22"/>
          <w:shd w:val="clear" w:color="auto" w:fill="FFFFFF"/>
          <w:lang w:eastAsia="en-GB"/>
        </w:rPr>
        <w:t>Omega(n) is </w:t>
      </w:r>
      <w:r>
        <w:rPr>
          <w:rFonts w:hint="default" w:eastAsia="Times New Roman" w:cs="Calibri" w:asciiTheme="minorAscii" w:hAnsiTheme="minorAscii"/>
          <w:i/>
          <w:iCs/>
          <w:color w:val="242729"/>
          <w:sz w:val="22"/>
          <w:szCs w:val="22"/>
          <w:shd w:val="clear" w:color="auto" w:fill="FFFFFF"/>
          <w:lang w:eastAsia="en-GB"/>
        </w:rPr>
        <w:t>asymptotic lower bound</w:t>
      </w:r>
      <w:r>
        <w:rPr>
          <w:rFonts w:hint="default" w:eastAsia="Times New Roman" w:cs="Calibri" w:asciiTheme="minorAscii" w:hAnsiTheme="minorAscii"/>
          <w:color w:val="242729"/>
          <w:sz w:val="22"/>
          <w:szCs w:val="22"/>
          <w:shd w:val="clear" w:color="auto" w:fill="FFFFFF"/>
          <w:lang w:eastAsia="en-GB"/>
        </w:rPr>
        <w:t>. If T(n) is Omega(f(n)), it means that from a certain n0, there is a constant C1 such that T(n) &gt;= C1 * f(n). Whereas big-O says there is a</w:t>
      </w:r>
      <w:r>
        <w:rPr>
          <w:rFonts w:hint="eastAsia" w:eastAsia="宋体" w:cs="Calibri" w:asciiTheme="minorAscii" w:hAnsiTheme="minorAscii"/>
          <w:color w:val="242729"/>
          <w:sz w:val="22"/>
          <w:szCs w:val="22"/>
          <w:shd w:val="clear" w:color="auto" w:fill="FFFFFF"/>
          <w:lang w:val="en-US" w:eastAsia="zh-CN"/>
        </w:rPr>
        <w:t xml:space="preserve"> </w:t>
      </w:r>
      <w:r>
        <w:rPr>
          <w:rFonts w:hint="default" w:eastAsia="Times New Roman" w:cs="Calibri" w:asciiTheme="minorAscii" w:hAnsiTheme="minorAscii"/>
          <w:color w:val="242729"/>
          <w:sz w:val="22"/>
          <w:szCs w:val="22"/>
          <w:shd w:val="clear" w:color="auto" w:fill="FFFFFF"/>
          <w:lang w:eastAsia="en-GB"/>
        </w:rPr>
        <w:t>constant C2 such that T(n) &lt;= C2 * f(n)).</w:t>
      </w:r>
    </w:p>
    <w:p>
      <w:pPr>
        <w:numPr>
          <w:numId w:val="0"/>
        </w:numPr>
        <w:spacing w:after="0" w:line="240" w:lineRule="auto"/>
        <w:textAlignment w:val="center"/>
        <w:rPr>
          <w:rFonts w:hint="default" w:eastAsia="Times New Roman" w:cs="Calibri" w:asciiTheme="minorAscii" w:hAnsiTheme="minorAscii"/>
          <w:sz w:val="22"/>
          <w:szCs w:val="22"/>
          <w:lang w:eastAsia="en-GB"/>
        </w:rPr>
      </w:pPr>
      <w:r>
        <w:rPr>
          <w:rFonts w:hint="default" w:eastAsia="Times New Roman" w:cs="Calibri" w:asciiTheme="minorAscii" w:hAnsiTheme="minorAscii"/>
          <w:sz w:val="22"/>
          <w:szCs w:val="22"/>
          <w:lang w:eastAsia="en-GB"/>
        </w:rPr>
        <w:t>Big omega is used to develop the lower bound</w:t>
      </w:r>
    </w:p>
    <w:p>
      <w:pPr>
        <w:numPr>
          <w:numId w:val="0"/>
        </w:numPr>
        <w:spacing w:after="0" w:line="240" w:lineRule="auto"/>
        <w:textAlignment w:val="center"/>
        <w:rPr>
          <w:rFonts w:hint="default" w:eastAsia="Times New Roman" w:cs="Calibri" w:asciiTheme="minorAscii" w:hAnsiTheme="minorAscii"/>
          <w:sz w:val="22"/>
          <w:szCs w:val="22"/>
          <w:lang w:eastAsia="en-GB"/>
        </w:rPr>
      </w:pPr>
    </w:p>
    <w:p>
      <w:pPr>
        <w:jc w:val="center"/>
        <w:rPr>
          <w:rFonts w:hint="eastAsia" w:ascii="Calibri" w:hAnsi="Calibri" w:eastAsia="宋体" w:cs="Calibri"/>
          <w:b/>
          <w:bCs/>
          <w:lang w:val="en-US" w:eastAsia="zh-CN"/>
        </w:rPr>
      </w:pPr>
      <w:r>
        <w:rPr>
          <w:rFonts w:ascii="Calibri" w:hAnsi="Calibri" w:eastAsia="Times New Roman" w:cs="Calibri"/>
          <w:b/>
          <w:bCs/>
          <w:lang w:eastAsia="en-GB"/>
        </w:rPr>
        <w:t xml:space="preserve">Big </w:t>
      </w:r>
      <w:r>
        <w:rPr>
          <w:rFonts w:hint="eastAsia" w:ascii="Calibri" w:hAnsi="Calibri" w:eastAsia="宋体" w:cs="Calibri"/>
          <w:b/>
          <w:bCs/>
          <w:lang w:val="en-US" w:eastAsia="zh-CN"/>
        </w:rPr>
        <w:t>Theta</w:t>
      </w:r>
    </w:p>
    <w:p>
      <w:pPr>
        <w:numPr>
          <w:numId w:val="0"/>
        </w:numPr>
        <w:spacing w:after="0" w:line="240" w:lineRule="auto"/>
        <w:textAlignment w:val="center"/>
        <w:rPr>
          <w:rFonts w:hint="default" w:eastAsia="Times New Roman" w:cs="Calibri" w:asciiTheme="minorAscii" w:hAnsiTheme="minorAscii"/>
          <w:sz w:val="22"/>
          <w:szCs w:val="22"/>
          <w:lang w:eastAsia="en-GB"/>
        </w:rPr>
      </w:pPr>
      <w:r>
        <w:rPr>
          <w:rFonts w:hint="default" w:eastAsia="Times New Roman" w:cs="Calibri" w:asciiTheme="minorAscii" w:hAnsiTheme="minorAscii"/>
          <w:sz w:val="22"/>
          <w:szCs w:val="22"/>
          <w:lang w:eastAsia="en-GB"/>
        </w:rPr>
        <w:t>Big theta gives the upper and lower bounds and is therefore used to classify algorithms</w:t>
      </w:r>
    </w:p>
    <w:p>
      <w:pPr>
        <w:spacing w:after="0" w:line="240" w:lineRule="auto"/>
        <w:rPr>
          <w:rFonts w:hint="default" w:eastAsia="Times New Roman" w:cs="Calibri" w:asciiTheme="minorAscii" w:hAnsiTheme="minorAscii"/>
          <w:sz w:val="22"/>
          <w:szCs w:val="22"/>
          <w:lang w:eastAsia="en-GB"/>
        </w:rPr>
      </w:pPr>
      <w:r>
        <w:rPr>
          <w:rFonts w:hint="default" w:eastAsia="Times New Roman" w:cs="Calibri" w:asciiTheme="minorAscii" w:hAnsiTheme="minorAscii"/>
          <w:sz w:val="22"/>
          <w:szCs w:val="22"/>
          <w:lang w:eastAsia="en-GB"/>
        </w:rPr>
        <w:t> </w:t>
      </w:r>
    </w:p>
    <w:p>
      <w:pPr>
        <w:numPr>
          <w:numId w:val="0"/>
        </w:numPr>
        <w:spacing w:after="0" w:line="240" w:lineRule="auto"/>
        <w:textAlignment w:val="center"/>
        <w:rPr>
          <w:rFonts w:hint="default" w:eastAsia="Times New Roman" w:cs="Calibri" w:asciiTheme="minorAscii" w:hAnsiTheme="minorAscii"/>
          <w:b/>
          <w:bCs/>
          <w:color w:val="242729"/>
          <w:sz w:val="22"/>
          <w:szCs w:val="22"/>
          <w:lang w:eastAsia="en-GB"/>
        </w:rPr>
      </w:pPr>
      <w:r>
        <w:rPr>
          <w:rFonts w:hint="default" w:eastAsia="Times New Roman" w:cs="Calibri" w:asciiTheme="minorAscii" w:hAnsiTheme="minorAscii"/>
          <w:b/>
          <w:bCs/>
          <w:color w:val="242729"/>
          <w:sz w:val="22"/>
          <w:szCs w:val="22"/>
          <w:shd w:val="clear" w:color="auto" w:fill="FFFFFF"/>
          <w:lang w:eastAsia="en-GB"/>
        </w:rPr>
        <w:t>Everything that is Theta(f(n)) is also O(f(n)), but not the other way around.</w:t>
      </w:r>
    </w:p>
    <w:p>
      <w:pPr>
        <w:numPr>
          <w:numId w:val="0"/>
        </w:numPr>
        <w:spacing w:after="0" w:line="240" w:lineRule="auto"/>
        <w:textAlignment w:val="center"/>
        <w:rPr>
          <w:rFonts w:hint="default" w:eastAsia="Times New Roman" w:cs="Calibri" w:asciiTheme="minorAscii" w:hAnsiTheme="minorAscii"/>
          <w:b/>
          <w:bCs/>
          <w:sz w:val="22"/>
          <w:szCs w:val="22"/>
          <w:lang w:eastAsia="en-GB"/>
        </w:rPr>
      </w:pPr>
      <w:r>
        <w:rPr>
          <w:rFonts w:hint="default" w:eastAsia="Times New Roman" w:cs="Calibri" w:asciiTheme="minorAscii" w:hAnsiTheme="minorAscii"/>
          <w:b/>
          <w:bCs/>
          <w:color w:val="242729"/>
          <w:sz w:val="22"/>
          <w:szCs w:val="22"/>
          <w:shd w:val="clear" w:color="auto" w:fill="FFFFFF"/>
          <w:lang w:eastAsia="en-GB"/>
        </w:rPr>
        <w:t>T(n) is said to be Theta(f(n)), if it is both O(f(n)) </w:t>
      </w:r>
      <w:r>
        <w:rPr>
          <w:rFonts w:hint="default" w:eastAsia="Times New Roman" w:cs="Calibri" w:asciiTheme="minorAscii" w:hAnsiTheme="minorAscii"/>
          <w:b/>
          <w:bCs/>
          <w:color w:val="242729"/>
          <w:sz w:val="22"/>
          <w:szCs w:val="22"/>
          <w:shd w:val="clear" w:color="auto" w:fill="FFFFFF"/>
          <w:lang w:eastAsia="en-GB"/>
        </w:rPr>
        <w:t>and Omega(f(n))</w:t>
      </w:r>
    </w:p>
    <w:p>
      <w:pPr>
        <w:spacing w:after="0" w:line="240" w:lineRule="auto"/>
        <w:ind w:left="540"/>
        <w:rPr>
          <w:rFonts w:hint="default" w:eastAsia="Times New Roman" w:cs="Calibri" w:asciiTheme="minorAscii" w:hAnsiTheme="minorAscii"/>
          <w:color w:val="242729"/>
          <w:sz w:val="22"/>
          <w:szCs w:val="22"/>
          <w:lang w:eastAsia="en-GB"/>
        </w:rPr>
      </w:pPr>
      <w:r>
        <w:rPr>
          <w:rFonts w:hint="default" w:eastAsia="Times New Roman" w:cs="Calibri" w:asciiTheme="minorAscii" w:hAnsiTheme="minorAscii"/>
          <w:color w:val="242729"/>
          <w:sz w:val="22"/>
          <w:szCs w:val="22"/>
          <w:lang w:eastAsia="en-GB"/>
        </w:rPr>
        <w:t> </w:t>
      </w:r>
    </w:p>
    <w:p>
      <w:pPr>
        <w:numPr>
          <w:numId w:val="0"/>
        </w:numPr>
        <w:spacing w:after="0" w:line="240" w:lineRule="auto"/>
        <w:textAlignment w:val="center"/>
        <w:rPr>
          <w:rFonts w:hint="default" w:eastAsia="Times New Roman" w:cs="Calibri" w:asciiTheme="minorAscii" w:hAnsiTheme="minorAscii"/>
          <w:color w:val="242729"/>
          <w:sz w:val="22"/>
          <w:szCs w:val="22"/>
          <w:shd w:val="clear" w:color="auto" w:fill="FFFFFF"/>
          <w:lang w:eastAsia="en-GB"/>
        </w:rPr>
      </w:pPr>
      <w:r>
        <w:rPr>
          <w:rFonts w:hint="default" w:eastAsia="Times New Roman" w:cs="Calibri" w:asciiTheme="minorAscii" w:hAnsiTheme="minorAscii"/>
          <w:color w:val="242729"/>
          <w:sz w:val="22"/>
          <w:szCs w:val="22"/>
          <w:shd w:val="clear" w:color="auto" w:fill="FFFFFF"/>
          <w:lang w:eastAsia="en-GB"/>
        </w:rPr>
        <w:t>For this reason </w:t>
      </w:r>
      <w:r>
        <w:rPr>
          <w:rFonts w:hint="default" w:eastAsia="Times New Roman" w:cs="Calibri" w:asciiTheme="minorAscii" w:hAnsiTheme="minorAscii"/>
          <w:b/>
          <w:bCs/>
          <w:color w:val="242729"/>
          <w:sz w:val="22"/>
          <w:szCs w:val="22"/>
          <w:shd w:val="clear" w:color="auto" w:fill="FFFFFF"/>
          <w:lang w:eastAsia="en-GB"/>
        </w:rPr>
        <w:t>big-Theta is more informative than big-O</w:t>
      </w:r>
      <w:r>
        <w:rPr>
          <w:rFonts w:hint="default" w:eastAsia="Times New Roman" w:cs="Calibri" w:asciiTheme="minorAscii" w:hAnsiTheme="minorAscii"/>
          <w:color w:val="242729"/>
          <w:sz w:val="22"/>
          <w:szCs w:val="22"/>
          <w:shd w:val="clear" w:color="auto" w:fill="FFFFFF"/>
          <w:lang w:eastAsia="en-GB"/>
        </w:rPr>
        <w:t> notation, so if we can say something is big-Theta, it's usually preferred. However, it is harder to prove something is big Theta, than to prove it is big-O</w:t>
      </w:r>
    </w:p>
    <w:p>
      <w:pPr>
        <w:numPr>
          <w:numId w:val="0"/>
        </w:numPr>
        <w:spacing w:after="0" w:line="240" w:lineRule="auto"/>
        <w:textAlignment w:val="center"/>
        <w:rPr>
          <w:rFonts w:hint="default" w:eastAsia="Times New Roman" w:cs="Calibri" w:asciiTheme="minorAscii" w:hAnsiTheme="minorAscii"/>
          <w:color w:val="242729"/>
          <w:sz w:val="22"/>
          <w:szCs w:val="22"/>
          <w:shd w:val="clear" w:color="auto" w:fill="FFFFFF"/>
          <w:lang w:eastAsia="en-GB"/>
        </w:rPr>
      </w:pPr>
    </w:p>
    <w:p>
      <w:pPr>
        <w:numPr>
          <w:numId w:val="0"/>
        </w:numPr>
        <w:spacing w:after="0" w:line="240" w:lineRule="auto"/>
        <w:textAlignment w:val="center"/>
        <w:rPr>
          <w:rFonts w:hint="default" w:eastAsia="Times New Roman" w:cs="Calibri" w:asciiTheme="minorAscii" w:hAnsiTheme="minorAscii"/>
          <w:color w:val="242729"/>
          <w:sz w:val="22"/>
          <w:szCs w:val="22"/>
          <w:shd w:val="clear" w:color="auto" w:fill="FFFFFF"/>
          <w:lang w:eastAsia="en-GB"/>
        </w:rPr>
      </w:pPr>
    </w:p>
    <w:p>
      <w:pPr>
        <w:numPr>
          <w:numId w:val="0"/>
        </w:numPr>
        <w:spacing w:after="0" w:line="240" w:lineRule="auto"/>
        <w:textAlignment w:val="center"/>
        <w:rPr>
          <w:rFonts w:hint="default" w:eastAsia="Times New Roman" w:cs="Calibri" w:asciiTheme="minorAscii" w:hAnsiTheme="minorAscii"/>
          <w:color w:val="242729"/>
          <w:sz w:val="22"/>
          <w:szCs w:val="22"/>
          <w:shd w:val="clear" w:color="auto" w:fill="FFFFFF"/>
          <w:lang w:eastAsia="en-GB"/>
        </w:rPr>
      </w:pPr>
    </w:p>
    <w:p>
      <w:pPr>
        <w:numPr>
          <w:numId w:val="0"/>
        </w:numPr>
        <w:spacing w:after="0" w:line="240" w:lineRule="auto"/>
        <w:textAlignment w:val="center"/>
        <w:rPr>
          <w:rFonts w:hint="default" w:eastAsia="Times New Roman" w:cs="Calibri" w:asciiTheme="minorAscii" w:hAnsiTheme="minorAscii"/>
          <w:color w:val="242729"/>
          <w:sz w:val="22"/>
          <w:szCs w:val="22"/>
          <w:shd w:val="clear" w:color="auto" w:fill="FFFFFF"/>
          <w:lang w:eastAsia="en-GB"/>
        </w:rPr>
      </w:pPr>
    </w:p>
    <w:p>
      <w:pPr>
        <w:numPr>
          <w:numId w:val="0"/>
        </w:numPr>
        <w:spacing w:after="0" w:line="240" w:lineRule="auto"/>
        <w:textAlignment w:val="center"/>
        <w:rPr>
          <w:rFonts w:hint="default" w:eastAsia="Times New Roman" w:cs="Calibri" w:asciiTheme="minorAscii" w:hAnsiTheme="minorAscii"/>
          <w:color w:val="242729"/>
          <w:sz w:val="22"/>
          <w:szCs w:val="22"/>
          <w:shd w:val="clear" w:color="auto" w:fill="FFFFFF"/>
          <w:lang w:eastAsia="en-GB"/>
        </w:rPr>
      </w:pPr>
    </w:p>
    <w:p>
      <w:pPr>
        <w:numPr>
          <w:numId w:val="0"/>
        </w:numPr>
        <w:spacing w:after="0" w:line="240" w:lineRule="auto"/>
        <w:textAlignment w:val="center"/>
        <w:rPr>
          <w:rFonts w:hint="default" w:eastAsia="Times New Roman" w:cs="Calibri" w:asciiTheme="minorAscii" w:hAnsiTheme="minorAscii"/>
          <w:color w:val="242729"/>
          <w:sz w:val="22"/>
          <w:szCs w:val="22"/>
          <w:lang w:eastAsia="en-GB"/>
        </w:rPr>
      </w:pPr>
      <w:r>
        <w:rPr>
          <w:rFonts w:hint="default" w:eastAsia="Times New Roman" w:cs="Calibri" w:asciiTheme="minorAscii" w:hAnsiTheme="minorAscii"/>
          <w:b/>
          <w:bCs/>
          <w:color w:val="242729"/>
          <w:sz w:val="22"/>
          <w:szCs w:val="22"/>
          <w:shd w:val="clear" w:color="auto" w:fill="FFFFFF"/>
          <w:lang w:eastAsia="en-GB"/>
        </w:rPr>
        <w:t>For example</w:t>
      </w:r>
      <w:r>
        <w:rPr>
          <w:rFonts w:hint="default" w:eastAsia="Times New Roman" w:cs="Calibri" w:asciiTheme="minorAscii" w:hAnsiTheme="minorAscii"/>
          <w:color w:val="242729"/>
          <w:sz w:val="22"/>
          <w:szCs w:val="22"/>
          <w:shd w:val="clear" w:color="auto" w:fill="FFFFFF"/>
          <w:lang w:eastAsia="en-GB"/>
        </w:rPr>
        <w:t>, </w:t>
      </w:r>
      <w:r>
        <w:rPr>
          <w:rFonts w:hint="default" w:asciiTheme="minorAscii" w:hAnsiTheme="minorAscii"/>
          <w:color w:val="auto"/>
          <w:sz w:val="22"/>
          <w:szCs w:val="22"/>
          <w:u w:val="none"/>
        </w:rPr>
        <w:fldChar w:fldCharType="begin"/>
      </w:r>
      <w:r>
        <w:rPr>
          <w:rFonts w:hint="default" w:asciiTheme="minorAscii" w:hAnsiTheme="minorAscii"/>
          <w:color w:val="auto"/>
          <w:sz w:val="22"/>
          <w:szCs w:val="22"/>
          <w:u w:val="none"/>
        </w:rPr>
        <w:instrText xml:space="preserve"> HYPERLINK "http://en.wikipedia.org/wiki/Merge_sort" </w:instrText>
      </w:r>
      <w:r>
        <w:rPr>
          <w:rFonts w:hint="default" w:asciiTheme="minorAscii" w:hAnsiTheme="minorAscii"/>
          <w:color w:val="auto"/>
          <w:sz w:val="22"/>
          <w:szCs w:val="22"/>
          <w:u w:val="none"/>
        </w:rPr>
        <w:fldChar w:fldCharType="separate"/>
      </w:r>
      <w:r>
        <w:rPr>
          <w:rFonts w:hint="default" w:eastAsia="Times New Roman" w:cs="Calibri" w:asciiTheme="minorAscii" w:hAnsiTheme="minorAscii"/>
          <w:color w:val="auto"/>
          <w:sz w:val="22"/>
          <w:szCs w:val="22"/>
          <w:u w:val="none"/>
          <w:shd w:val="clear" w:color="auto" w:fill="FFFFFF"/>
          <w:lang w:eastAsia="en-GB"/>
        </w:rPr>
        <w:t>merge sort</w:t>
      </w:r>
      <w:r>
        <w:rPr>
          <w:rFonts w:hint="default" w:eastAsia="Times New Roman" w:cs="Calibri" w:asciiTheme="minorAscii" w:hAnsiTheme="minorAscii"/>
          <w:color w:val="auto"/>
          <w:sz w:val="22"/>
          <w:szCs w:val="22"/>
          <w:u w:val="none"/>
          <w:shd w:val="clear" w:color="auto" w:fill="FFFFFF"/>
          <w:lang w:eastAsia="en-GB"/>
        </w:rPr>
        <w:fldChar w:fldCharType="end"/>
      </w:r>
      <w:r>
        <w:rPr>
          <w:rFonts w:hint="default" w:eastAsia="Times New Roman" w:cs="Calibri" w:asciiTheme="minorAscii" w:hAnsiTheme="minorAscii"/>
          <w:color w:val="242729"/>
          <w:sz w:val="22"/>
          <w:szCs w:val="22"/>
          <w:shd w:val="clear" w:color="auto" w:fill="FFFFFF"/>
          <w:lang w:eastAsia="en-GB"/>
        </w:rPr>
        <w:t> is both O(n*log(n)) and Theta(n*log(n)), but it is also O(n</w:t>
      </w:r>
      <w:r>
        <w:rPr>
          <w:rFonts w:hint="default" w:eastAsia="Times New Roman" w:cs="Calibri" w:asciiTheme="minorAscii" w:hAnsiTheme="minorAscii"/>
          <w:color w:val="242729"/>
          <w:sz w:val="22"/>
          <w:szCs w:val="22"/>
          <w:shd w:val="clear" w:color="auto" w:fill="FFFFFF"/>
          <w:vertAlign w:val="superscript"/>
          <w:lang w:eastAsia="en-GB"/>
        </w:rPr>
        <w:t>2</w:t>
      </w:r>
      <w:r>
        <w:rPr>
          <w:rFonts w:hint="default" w:eastAsia="Times New Roman" w:cs="Calibri" w:asciiTheme="minorAscii" w:hAnsiTheme="minorAscii"/>
          <w:color w:val="242729"/>
          <w:sz w:val="22"/>
          <w:szCs w:val="22"/>
          <w:shd w:val="clear" w:color="auto" w:fill="FFFFFF"/>
          <w:lang w:eastAsia="en-GB"/>
        </w:rPr>
        <w:t>), since n</w:t>
      </w:r>
      <w:r>
        <w:rPr>
          <w:rFonts w:hint="default" w:eastAsia="Times New Roman" w:cs="Calibri" w:asciiTheme="minorAscii" w:hAnsiTheme="minorAscii"/>
          <w:color w:val="242729"/>
          <w:sz w:val="22"/>
          <w:szCs w:val="22"/>
          <w:shd w:val="clear" w:color="auto" w:fill="FFFFFF"/>
          <w:vertAlign w:val="superscript"/>
          <w:lang w:eastAsia="en-GB"/>
        </w:rPr>
        <w:t>2</w:t>
      </w:r>
      <w:r>
        <w:rPr>
          <w:rFonts w:hint="default" w:eastAsia="Times New Roman" w:cs="Calibri" w:asciiTheme="minorAscii" w:hAnsiTheme="minorAscii"/>
          <w:color w:val="242729"/>
          <w:sz w:val="22"/>
          <w:szCs w:val="22"/>
          <w:shd w:val="clear" w:color="auto" w:fill="FFFFFF"/>
          <w:lang w:eastAsia="en-GB"/>
        </w:rPr>
        <w:t> is asymptotically "bigger" than it. However, it is NOT Theta(n</w:t>
      </w:r>
      <w:r>
        <w:rPr>
          <w:rFonts w:hint="default" w:eastAsia="Times New Roman" w:cs="Calibri" w:asciiTheme="minorAscii" w:hAnsiTheme="minorAscii"/>
          <w:color w:val="242729"/>
          <w:sz w:val="22"/>
          <w:szCs w:val="22"/>
          <w:shd w:val="clear" w:color="auto" w:fill="FFFFFF"/>
          <w:vertAlign w:val="superscript"/>
          <w:lang w:eastAsia="en-GB"/>
        </w:rPr>
        <w:t>2</w:t>
      </w:r>
      <w:r>
        <w:rPr>
          <w:rFonts w:hint="default" w:eastAsia="Times New Roman" w:cs="Calibri" w:asciiTheme="minorAscii" w:hAnsiTheme="minorAscii"/>
          <w:color w:val="242729"/>
          <w:sz w:val="22"/>
          <w:szCs w:val="22"/>
          <w:shd w:val="clear" w:color="auto" w:fill="FFFFFF"/>
          <w:lang w:eastAsia="en-GB"/>
        </w:rPr>
        <w:t>), Since the algorithm is NOT Omega(n</w:t>
      </w:r>
      <w:r>
        <w:rPr>
          <w:rFonts w:hint="default" w:eastAsia="Times New Roman" w:cs="Calibri" w:asciiTheme="minorAscii" w:hAnsiTheme="minorAscii"/>
          <w:color w:val="242729"/>
          <w:sz w:val="22"/>
          <w:szCs w:val="22"/>
          <w:shd w:val="clear" w:color="auto" w:fill="FFFFFF"/>
          <w:vertAlign w:val="superscript"/>
          <w:lang w:eastAsia="en-GB"/>
        </w:rPr>
        <w:t>2</w:t>
      </w:r>
      <w:r>
        <w:rPr>
          <w:rFonts w:hint="default" w:eastAsia="Times New Roman" w:cs="Calibri" w:asciiTheme="minorAscii" w:hAnsiTheme="minorAscii"/>
          <w:color w:val="242729"/>
          <w:sz w:val="22"/>
          <w:szCs w:val="22"/>
          <w:shd w:val="clear" w:color="auto" w:fill="FFFFFF"/>
          <w:lang w:eastAsia="en-GB"/>
        </w:rPr>
        <w:t>).</w:t>
      </w:r>
    </w:p>
    <w:p>
      <w:pPr>
        <w:numPr>
          <w:numId w:val="0"/>
        </w:numPr>
        <w:spacing w:after="0" w:line="240" w:lineRule="auto"/>
        <w:textAlignment w:val="center"/>
        <w:rPr>
          <w:rFonts w:hint="default" w:eastAsia="Times New Roman" w:cs="Calibri" w:asciiTheme="minorAscii" w:hAnsiTheme="minorAscii"/>
          <w:color w:val="242729"/>
          <w:sz w:val="22"/>
          <w:szCs w:val="22"/>
          <w:lang w:eastAsia="en-GB"/>
        </w:rPr>
      </w:pPr>
      <w:r>
        <w:rPr>
          <w:rFonts w:hint="default" w:eastAsia="Times New Roman" w:cs="Calibri" w:asciiTheme="minorAscii" w:hAnsiTheme="minorAscii"/>
          <w:color w:val="000000"/>
          <w:sz w:val="22"/>
          <w:szCs w:val="22"/>
          <w:lang w:eastAsia="en-GB"/>
        </w:rPr>
        <w:t>the “big-Theta” notation is typically used to describe the performance of algorithms that are optimal in the sense that no algorithm can have better asymptotic worst-case order of growth.</w:t>
      </w:r>
      <w:bookmarkStart w:id="0" w:name="_GoBack"/>
      <w:bookmarkEnd w:id="0"/>
    </w:p>
    <w:p>
      <w:pPr>
        <w:jc w:val="both"/>
        <w:rPr>
          <w:rFonts w:hint="default" w:ascii="Calibri" w:hAnsi="Calibri" w:eastAsia="宋体" w:cs="Calibri"/>
          <w:b/>
          <w:bCs/>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var(--ff-mono)">
    <w:altName w:val="Cambria"/>
    <w:panose1 w:val="00000000000000000000"/>
    <w:charset w:val="00"/>
    <w:family w:val="roman"/>
    <w:pitch w:val="default"/>
    <w:sig w:usb0="00000000" w:usb1="00000000" w:usb2="00000000" w:usb3="00000000" w:csb0="00000000" w:csb1="00000000"/>
  </w:font>
  <w:font w:name="-apple-system">
    <w:altName w:val="Cambria"/>
    <w:panose1 w:val="00000000000000000000"/>
    <w:charset w:val="00"/>
    <w:family w:val="roman"/>
    <w:pitch w:val="default"/>
    <w:sig w:usb0="00000000" w:usb1="00000000" w:usb2="00000000" w:usb3="00000000" w:csb0="0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55590"/>
    <w:rsid w:val="69255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2021-10-31T23:55:00Z</dcterms:created>
  <dc:creator>牧野鹰扬</dc:creator>
  <cp:lastModifiedBy>牧野鹰扬</cp:lastModifiedBy>
  <dcterms:modified xsi:type="dcterms:W3CDTF">2021-11-01T00:10:06Z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ED735640DED64843AE004FC2B4332756</vt:lpwstr>
  </property>
</Properties>
</file>