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4EE" w:rsidRDefault="00EC44EE">
      <w:pPr>
        <w:rPr>
          <w:rFonts w:ascii="Times New Roman" w:hAnsi="Times New Roman" w:cs="Times New Roman"/>
          <w:sz w:val="24"/>
          <w:szCs w:val="24"/>
        </w:rPr>
      </w:pPr>
      <w:r>
        <w:rPr>
          <w:noProof/>
          <w:lang w:eastAsia="fr-FR"/>
        </w:rPr>
        <w:drawing>
          <wp:inline distT="0" distB="0" distL="0" distR="0">
            <wp:extent cx="2181225" cy="1056040"/>
            <wp:effectExtent l="19050" t="0" r="9525" b="0"/>
            <wp:docPr id="1" name="Image 1" descr="[legende-image]1262861095841[/legend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ende-image]1262861095841[/legende-image]"/>
                    <pic:cNvPicPr>
                      <a:picLocks noChangeAspect="1" noChangeArrowheads="1"/>
                    </pic:cNvPicPr>
                  </pic:nvPicPr>
                  <pic:blipFill>
                    <a:blip r:embed="rId7" cstate="print"/>
                    <a:srcRect/>
                    <a:stretch>
                      <a:fillRect/>
                    </a:stretch>
                  </pic:blipFill>
                  <pic:spPr bwMode="auto">
                    <a:xfrm>
                      <a:off x="0" y="0"/>
                      <a:ext cx="2180504" cy="1055691"/>
                    </a:xfrm>
                    <a:prstGeom prst="rect">
                      <a:avLst/>
                    </a:prstGeom>
                    <a:noFill/>
                    <a:ln w="9525">
                      <a:noFill/>
                      <a:miter lim="800000"/>
                      <a:headEnd/>
                      <a:tailEnd/>
                    </a:ln>
                  </pic:spPr>
                </pic:pic>
              </a:graphicData>
            </a:graphic>
          </wp:inline>
        </w:drawing>
      </w:r>
    </w:p>
    <w:p w:rsidR="00EC44EE" w:rsidRPr="00EC44EE" w:rsidRDefault="00EC44EE">
      <w:pPr>
        <w:rPr>
          <w:rFonts w:ascii="Times New Roman" w:hAnsi="Times New Roman" w:cs="Times New Roman"/>
          <w:sz w:val="28"/>
          <w:szCs w:val="28"/>
        </w:rPr>
      </w:pPr>
    </w:p>
    <w:p w:rsidR="00EC44EE" w:rsidRPr="00EC44EE" w:rsidRDefault="00EC44EE" w:rsidP="00EC44EE">
      <w:pPr>
        <w:jc w:val="center"/>
        <w:rPr>
          <w:rFonts w:ascii="Times New Roman" w:hAnsi="Times New Roman" w:cs="Times New Roman"/>
          <w:sz w:val="28"/>
          <w:szCs w:val="28"/>
        </w:rPr>
      </w:pPr>
      <w:r w:rsidRPr="00EC44EE">
        <w:rPr>
          <w:rFonts w:ascii="Times New Roman" w:hAnsi="Times New Roman" w:cs="Times New Roman"/>
          <w:sz w:val="28"/>
          <w:szCs w:val="28"/>
        </w:rPr>
        <w:t>Université Paris-Saclay</w:t>
      </w:r>
    </w:p>
    <w:p w:rsidR="00EC44EE" w:rsidRPr="00EC44EE" w:rsidRDefault="00EC44EE" w:rsidP="00EC44EE">
      <w:pPr>
        <w:jc w:val="center"/>
        <w:rPr>
          <w:rFonts w:ascii="Times New Roman" w:hAnsi="Times New Roman" w:cs="Times New Roman"/>
          <w:sz w:val="28"/>
          <w:szCs w:val="28"/>
        </w:rPr>
      </w:pPr>
      <w:r w:rsidRPr="00EC44EE">
        <w:rPr>
          <w:rFonts w:ascii="Times New Roman" w:hAnsi="Times New Roman" w:cs="Times New Roman"/>
          <w:sz w:val="28"/>
          <w:szCs w:val="28"/>
        </w:rPr>
        <w:t>Université de Versailles Saint-Quentin-en-Yvelines</w:t>
      </w:r>
    </w:p>
    <w:p w:rsidR="00EC44EE" w:rsidRPr="00EC44EE" w:rsidRDefault="00EC44EE" w:rsidP="00EC44EE">
      <w:pPr>
        <w:jc w:val="center"/>
        <w:rPr>
          <w:rFonts w:ascii="Times New Roman" w:hAnsi="Times New Roman" w:cs="Times New Roman"/>
          <w:sz w:val="28"/>
          <w:szCs w:val="28"/>
        </w:rPr>
      </w:pPr>
      <w:r w:rsidRPr="00EC44EE">
        <w:rPr>
          <w:rFonts w:ascii="Times New Roman" w:hAnsi="Times New Roman" w:cs="Times New Roman"/>
          <w:sz w:val="28"/>
          <w:szCs w:val="28"/>
        </w:rPr>
        <w:t>Institut d’études culturelles et internationales</w:t>
      </w:r>
    </w:p>
    <w:p w:rsidR="00EC44EE" w:rsidRPr="00EC44EE" w:rsidRDefault="00EC44EE" w:rsidP="00EC44EE">
      <w:pPr>
        <w:jc w:val="center"/>
        <w:rPr>
          <w:rFonts w:ascii="Times New Roman" w:hAnsi="Times New Roman" w:cs="Times New Roman"/>
          <w:sz w:val="28"/>
          <w:szCs w:val="28"/>
        </w:rPr>
      </w:pPr>
      <w:r w:rsidRPr="00EC44EE">
        <w:rPr>
          <w:rFonts w:ascii="Times New Roman" w:hAnsi="Times New Roman" w:cs="Times New Roman"/>
          <w:sz w:val="28"/>
          <w:szCs w:val="28"/>
        </w:rPr>
        <w:t>Département d’histoire</w:t>
      </w:r>
    </w:p>
    <w:p w:rsidR="00EC44EE" w:rsidRPr="00EC44EE" w:rsidRDefault="00EC44EE" w:rsidP="00EC44EE">
      <w:pPr>
        <w:jc w:val="center"/>
        <w:rPr>
          <w:rFonts w:ascii="Times New Roman" w:hAnsi="Times New Roman" w:cs="Times New Roman"/>
          <w:sz w:val="28"/>
          <w:szCs w:val="28"/>
        </w:rPr>
      </w:pPr>
    </w:p>
    <w:p w:rsidR="00EC44EE" w:rsidRPr="00EC44EE" w:rsidRDefault="00EC44EE" w:rsidP="00EC44EE">
      <w:pPr>
        <w:jc w:val="center"/>
        <w:rPr>
          <w:rFonts w:ascii="Times New Roman" w:hAnsi="Times New Roman" w:cs="Times New Roman"/>
          <w:sz w:val="28"/>
          <w:szCs w:val="28"/>
        </w:rPr>
      </w:pPr>
      <w:r w:rsidRPr="00EC44EE">
        <w:rPr>
          <w:rFonts w:ascii="Times New Roman" w:hAnsi="Times New Roman" w:cs="Times New Roman"/>
          <w:sz w:val="28"/>
          <w:szCs w:val="28"/>
        </w:rPr>
        <w:t>Master d’histoire culturelle et sociale</w:t>
      </w:r>
    </w:p>
    <w:p w:rsidR="00EC44EE" w:rsidRPr="00EC44EE" w:rsidRDefault="00EC44EE" w:rsidP="00EC44EE">
      <w:pPr>
        <w:jc w:val="center"/>
        <w:rPr>
          <w:rFonts w:ascii="Times New Roman" w:hAnsi="Times New Roman" w:cs="Times New Roman"/>
          <w:b/>
          <w:sz w:val="28"/>
          <w:szCs w:val="28"/>
        </w:rPr>
      </w:pPr>
      <w:r w:rsidRPr="00EC44EE">
        <w:rPr>
          <w:rFonts w:ascii="Times New Roman" w:hAnsi="Times New Roman" w:cs="Times New Roman"/>
          <w:b/>
          <w:sz w:val="28"/>
          <w:szCs w:val="28"/>
        </w:rPr>
        <w:t>Livrable : Humanités numériques</w:t>
      </w:r>
    </w:p>
    <w:p w:rsidR="00EC44EE" w:rsidRPr="00EC44EE" w:rsidRDefault="00EC44EE" w:rsidP="00EC44EE">
      <w:pPr>
        <w:jc w:val="center"/>
        <w:rPr>
          <w:rFonts w:ascii="Times New Roman" w:hAnsi="Times New Roman" w:cs="Times New Roman"/>
          <w:sz w:val="28"/>
          <w:szCs w:val="28"/>
        </w:rPr>
      </w:pPr>
      <w:r w:rsidRPr="00EC44EE">
        <w:rPr>
          <w:rFonts w:ascii="Times New Roman" w:hAnsi="Times New Roman" w:cs="Times New Roman"/>
          <w:sz w:val="28"/>
          <w:szCs w:val="28"/>
        </w:rPr>
        <w:t>Spécialité : Histoire culturelle des XX</w:t>
      </w:r>
      <w:r w:rsidRPr="00EC44EE">
        <w:rPr>
          <w:rFonts w:ascii="Times New Roman" w:hAnsi="Times New Roman" w:cs="Times New Roman"/>
          <w:sz w:val="28"/>
          <w:szCs w:val="28"/>
          <w:vertAlign w:val="superscript"/>
        </w:rPr>
        <w:t>e</w:t>
      </w:r>
      <w:r w:rsidRPr="00EC44EE">
        <w:rPr>
          <w:rFonts w:ascii="Times New Roman" w:hAnsi="Times New Roman" w:cs="Times New Roman"/>
          <w:sz w:val="28"/>
          <w:szCs w:val="28"/>
        </w:rPr>
        <w:t xml:space="preserve"> et XX</w:t>
      </w:r>
      <w:r w:rsidRPr="00EC44EE">
        <w:rPr>
          <w:rFonts w:ascii="Times New Roman" w:hAnsi="Times New Roman" w:cs="Times New Roman"/>
          <w:sz w:val="28"/>
          <w:szCs w:val="28"/>
          <w:vertAlign w:val="superscript"/>
        </w:rPr>
        <w:t>e</w:t>
      </w:r>
      <w:r w:rsidRPr="00EC44EE">
        <w:rPr>
          <w:rFonts w:ascii="Times New Roman" w:hAnsi="Times New Roman" w:cs="Times New Roman"/>
          <w:sz w:val="28"/>
          <w:szCs w:val="28"/>
        </w:rPr>
        <w:t xml:space="preserve"> siècles</w:t>
      </w:r>
    </w:p>
    <w:p w:rsidR="00EC44EE" w:rsidRPr="00EC44EE" w:rsidRDefault="00EC44EE" w:rsidP="00EC44EE">
      <w:pPr>
        <w:jc w:val="center"/>
        <w:rPr>
          <w:rFonts w:ascii="Times New Roman" w:hAnsi="Times New Roman" w:cs="Times New Roman"/>
          <w:sz w:val="28"/>
          <w:szCs w:val="28"/>
        </w:rPr>
      </w:pPr>
    </w:p>
    <w:p w:rsidR="00EC44EE" w:rsidRPr="00EC44EE" w:rsidRDefault="00EC44EE" w:rsidP="00EC44EE">
      <w:pPr>
        <w:jc w:val="center"/>
        <w:rPr>
          <w:rFonts w:ascii="Times New Roman" w:hAnsi="Times New Roman" w:cs="Times New Roman"/>
          <w:sz w:val="28"/>
          <w:szCs w:val="28"/>
        </w:rPr>
      </w:pPr>
      <w:r w:rsidRPr="00EC44EE">
        <w:rPr>
          <w:rFonts w:ascii="Times New Roman" w:hAnsi="Times New Roman" w:cs="Times New Roman"/>
          <w:sz w:val="28"/>
          <w:szCs w:val="28"/>
        </w:rPr>
        <w:t>Présentée par :</w:t>
      </w:r>
    </w:p>
    <w:p w:rsidR="00EC44EE" w:rsidRPr="00EC44EE" w:rsidRDefault="00EC44EE" w:rsidP="00EC44EE">
      <w:pPr>
        <w:jc w:val="center"/>
        <w:rPr>
          <w:rFonts w:ascii="Times New Roman" w:hAnsi="Times New Roman" w:cs="Times New Roman"/>
          <w:sz w:val="28"/>
          <w:szCs w:val="28"/>
        </w:rPr>
      </w:pPr>
      <w:r w:rsidRPr="00EC44EE">
        <w:rPr>
          <w:rFonts w:ascii="Times New Roman" w:hAnsi="Times New Roman" w:cs="Times New Roman"/>
          <w:sz w:val="28"/>
          <w:szCs w:val="28"/>
        </w:rPr>
        <w:t xml:space="preserve">Anaïs </w:t>
      </w:r>
      <w:r w:rsidRPr="00EC44EE">
        <w:rPr>
          <w:rFonts w:ascii="Times New Roman" w:hAnsi="Times New Roman" w:cs="Times New Roman"/>
          <w:b/>
          <w:sz w:val="28"/>
          <w:szCs w:val="28"/>
        </w:rPr>
        <w:t>ISAAC</w:t>
      </w:r>
    </w:p>
    <w:p w:rsidR="002476C6" w:rsidRDefault="006955A1" w:rsidP="00EC44EE">
      <w:pPr>
        <w:rPr>
          <w:rFonts w:ascii="Times New Roman" w:hAnsi="Times New Roman" w:cs="Times New Roman"/>
          <w:sz w:val="24"/>
          <w:szCs w:val="24"/>
        </w:rPr>
      </w:pPr>
      <w:r>
        <w:rPr>
          <w:rFonts w:ascii="Times New Roman" w:hAnsi="Times New Roman" w:cs="Times New Roman"/>
          <w:noProof/>
          <w:sz w:val="24"/>
          <w:szCs w:val="24"/>
          <w:lang w:eastAsia="fr-FR"/>
        </w:rPr>
        <w:pict>
          <v:shapetype id="_x0000_t202" coordsize="21600,21600" o:spt="202" path="m,l,21600r21600,l21600,xe">
            <v:stroke joinstyle="miter"/>
            <v:path gradientshapeok="t" o:connecttype="rect"/>
          </v:shapetype>
          <v:shape id="_x0000_s1026" type="#_x0000_t202" style="position:absolute;margin-left:-22.85pt;margin-top:62.15pt;width:515.25pt;height:135pt;z-index:251658240" strokeweight="3pt">
            <v:textbox>
              <w:txbxContent>
                <w:p w:rsidR="00EC44EE" w:rsidRPr="00EC44EE" w:rsidRDefault="00EC44EE" w:rsidP="00EC44EE">
                  <w:pPr>
                    <w:jc w:val="center"/>
                    <w:rPr>
                      <w:rFonts w:ascii="Times New Roman" w:hAnsi="Times New Roman" w:cs="Times New Roman"/>
                      <w:sz w:val="48"/>
                      <w:szCs w:val="48"/>
                    </w:rPr>
                  </w:pPr>
                  <w:r w:rsidRPr="00EC44EE">
                    <w:rPr>
                      <w:rFonts w:ascii="Times New Roman" w:hAnsi="Times New Roman" w:cs="Times New Roman"/>
                      <w:sz w:val="48"/>
                      <w:szCs w:val="48"/>
                    </w:rPr>
                    <w:t>Intitulé de mémoire : L’imaginaire de la bombe atomique et l’univers de la « Japanimation », processus de légitimation dans le 7</w:t>
                  </w:r>
                  <w:r w:rsidRPr="00EC44EE">
                    <w:rPr>
                      <w:rFonts w:ascii="Times New Roman" w:hAnsi="Times New Roman" w:cs="Times New Roman"/>
                      <w:sz w:val="48"/>
                      <w:szCs w:val="48"/>
                      <w:vertAlign w:val="superscript"/>
                    </w:rPr>
                    <w:t>e</w:t>
                  </w:r>
                  <w:r w:rsidRPr="00EC44EE">
                    <w:rPr>
                      <w:rFonts w:ascii="Times New Roman" w:hAnsi="Times New Roman" w:cs="Times New Roman"/>
                      <w:sz w:val="48"/>
                      <w:szCs w:val="48"/>
                    </w:rPr>
                    <w:t xml:space="preserve"> Art et le 9</w:t>
                  </w:r>
                  <w:r w:rsidRPr="00EC44EE">
                    <w:rPr>
                      <w:rFonts w:ascii="Times New Roman" w:hAnsi="Times New Roman" w:cs="Times New Roman"/>
                      <w:sz w:val="48"/>
                      <w:szCs w:val="48"/>
                      <w:vertAlign w:val="superscript"/>
                    </w:rPr>
                    <w:t>e</w:t>
                  </w:r>
                  <w:r w:rsidRPr="00EC44EE">
                    <w:rPr>
                      <w:rFonts w:ascii="Times New Roman" w:hAnsi="Times New Roman" w:cs="Times New Roman"/>
                      <w:sz w:val="48"/>
                      <w:szCs w:val="48"/>
                    </w:rPr>
                    <w:t xml:space="preserve"> Art (XX</w:t>
                  </w:r>
                  <w:r w:rsidRPr="00EC44EE">
                    <w:rPr>
                      <w:rFonts w:ascii="Times New Roman" w:hAnsi="Times New Roman" w:cs="Times New Roman"/>
                      <w:sz w:val="48"/>
                      <w:szCs w:val="48"/>
                      <w:vertAlign w:val="superscript"/>
                    </w:rPr>
                    <w:t>e</w:t>
                  </w:r>
                  <w:r w:rsidRPr="00EC44EE">
                    <w:rPr>
                      <w:rFonts w:ascii="Times New Roman" w:hAnsi="Times New Roman" w:cs="Times New Roman"/>
                      <w:sz w:val="48"/>
                      <w:szCs w:val="48"/>
                    </w:rPr>
                    <w:t>-XXI</w:t>
                  </w:r>
                  <w:r w:rsidRPr="00EC44EE">
                    <w:rPr>
                      <w:rFonts w:ascii="Times New Roman" w:hAnsi="Times New Roman" w:cs="Times New Roman"/>
                      <w:sz w:val="48"/>
                      <w:szCs w:val="48"/>
                      <w:vertAlign w:val="superscript"/>
                    </w:rPr>
                    <w:t>e</w:t>
                  </w:r>
                  <w:r w:rsidRPr="00EC44EE">
                    <w:rPr>
                      <w:rFonts w:ascii="Times New Roman" w:hAnsi="Times New Roman" w:cs="Times New Roman"/>
                      <w:sz w:val="48"/>
                      <w:szCs w:val="48"/>
                    </w:rPr>
                    <w:t xml:space="preserve"> siècles</w:t>
                  </w:r>
                </w:p>
              </w:txbxContent>
            </v:textbox>
          </v:shape>
        </w:pict>
      </w:r>
      <w:r w:rsidR="002476C6">
        <w:rPr>
          <w:rFonts w:ascii="Times New Roman" w:hAnsi="Times New Roman" w:cs="Times New Roman"/>
          <w:sz w:val="24"/>
          <w:szCs w:val="24"/>
        </w:rPr>
        <w:br w:type="page"/>
      </w: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Pr="0036505E" w:rsidRDefault="0036505E" w:rsidP="0036505E">
      <w:pPr>
        <w:pStyle w:val="NormalWeb"/>
        <w:spacing w:before="0" w:beforeAutospacing="0" w:after="0" w:afterAutospacing="0" w:line="276" w:lineRule="auto"/>
        <w:jc w:val="center"/>
        <w:rPr>
          <w:b/>
          <w:sz w:val="48"/>
          <w:szCs w:val="48"/>
        </w:rPr>
      </w:pPr>
      <w:r w:rsidRPr="0036505E">
        <w:rPr>
          <w:b/>
          <w:color w:val="000000"/>
          <w:sz w:val="48"/>
          <w:szCs w:val="48"/>
        </w:rPr>
        <w:t>Présentation du sujet de mémoire et problématiques</w:t>
      </w:r>
    </w:p>
    <w:p w:rsidR="002476C6" w:rsidRDefault="002476C6" w:rsidP="002476C6">
      <w:pPr>
        <w:pStyle w:val="NormalWeb"/>
        <w:spacing w:before="0" w:beforeAutospacing="0" w:after="0" w:afterAutospacing="0" w:line="276" w:lineRule="auto"/>
        <w:jc w:val="both"/>
        <w:rPr>
          <w:color w:val="000000"/>
        </w:rPr>
      </w:pPr>
    </w:p>
    <w:p w:rsidR="0036505E" w:rsidRDefault="0036505E" w:rsidP="0036505E">
      <w:pPr>
        <w:jc w:val="center"/>
        <w:rPr>
          <w:rFonts w:ascii="Times New Roman" w:eastAsia="Times New Roman" w:hAnsi="Times New Roman" w:cs="Times New Roman"/>
          <w:b/>
          <w:color w:val="000000"/>
          <w:sz w:val="24"/>
          <w:szCs w:val="24"/>
          <w:u w:val="single"/>
          <w:lang w:eastAsia="fr-FR"/>
        </w:rPr>
      </w:pPr>
      <w:r>
        <w:rPr>
          <w:b/>
          <w:color w:val="000000"/>
          <w:u w:val="single"/>
        </w:rPr>
        <w:br w:type="page"/>
      </w:r>
    </w:p>
    <w:p w:rsidR="002476C6" w:rsidRPr="002476C6" w:rsidRDefault="002476C6" w:rsidP="002476C6">
      <w:pPr>
        <w:pStyle w:val="NormalWeb"/>
        <w:spacing w:before="0" w:beforeAutospacing="0" w:after="0" w:afterAutospacing="0" w:line="276" w:lineRule="auto"/>
        <w:jc w:val="both"/>
        <w:rPr>
          <w:b/>
          <w:u w:val="single"/>
        </w:rPr>
      </w:pP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Le sujet de mon mémoire porte sur l’étude de la représentation de la bombe atomique d’Hiroshima dans les films d’animation japonais ainsi que les bandes dessinées japonaises qui en découlent. Je cherche à démontrer l’existence d’un processus de massacres de masses, en lien avec la bombe atomique, dans les films d’animation. Je m’intéresse à deux angles de recherches. Dans un premier temps, je prends en compte l’aspect mémoriel de ces films d’animation japonais qui se manifeste toujours de différentes manières. Et dans un dernier temps, j’étudie la réception médiatique de ces films d’animation en France, engendrant un renouveau de l’animation et l’acquisitio</w:t>
      </w:r>
      <w:r w:rsidR="007B57C1">
        <w:rPr>
          <w:color w:val="000000"/>
        </w:rPr>
        <w:t>n d’une légitimation dans le 7</w:t>
      </w:r>
      <w:r w:rsidR="007B57C1">
        <w:rPr>
          <w:color w:val="000000"/>
          <w:vertAlign w:val="superscript"/>
        </w:rPr>
        <w:t>e</w:t>
      </w:r>
      <w:r w:rsidR="007B57C1">
        <w:rPr>
          <w:color w:val="000000"/>
        </w:rPr>
        <w:t xml:space="preserve"> </w:t>
      </w:r>
      <w:r>
        <w:rPr>
          <w:color w:val="000000"/>
        </w:rPr>
        <w:t>Art</w:t>
      </w:r>
      <w:r w:rsidR="007B57C1">
        <w:rPr>
          <w:color w:val="000000"/>
        </w:rPr>
        <w:t xml:space="preserve"> et le 9</w:t>
      </w:r>
      <w:r w:rsidR="007B57C1">
        <w:rPr>
          <w:color w:val="000000"/>
          <w:vertAlign w:val="superscript"/>
        </w:rPr>
        <w:t>e</w:t>
      </w:r>
      <w:r>
        <w:rPr>
          <w:color w:val="000000"/>
        </w:rPr>
        <w:t xml:space="preserve"> Art. </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 xml:space="preserve">Je travaille sur huit films d’animation sortis entre 1984 et 2017 en France. Je me concentre sur les œuvres de cinq réalisateurs japonais. J’ai choisi quatre films du réalisateur Hayao Miyazaki à savoir </w:t>
      </w:r>
      <w:r w:rsidRPr="005A49AD">
        <w:rPr>
          <w:i/>
          <w:color w:val="000000"/>
        </w:rPr>
        <w:t>Nausicaä de la vallée du vent</w:t>
      </w:r>
      <w:r>
        <w:rPr>
          <w:color w:val="000000"/>
        </w:rPr>
        <w:t xml:space="preserve">, </w:t>
      </w:r>
      <w:r w:rsidRPr="005A49AD">
        <w:rPr>
          <w:i/>
          <w:color w:val="000000"/>
        </w:rPr>
        <w:t>Princesse Mononoké</w:t>
      </w:r>
      <w:r>
        <w:rPr>
          <w:color w:val="000000"/>
        </w:rPr>
        <w:t xml:space="preserve">, </w:t>
      </w:r>
      <w:r w:rsidRPr="005A49AD">
        <w:rPr>
          <w:i/>
          <w:color w:val="000000"/>
        </w:rPr>
        <w:t>Le Château dans le ciel</w:t>
      </w:r>
      <w:r>
        <w:rPr>
          <w:color w:val="000000"/>
        </w:rPr>
        <w:t xml:space="preserve"> et </w:t>
      </w:r>
      <w:r>
        <w:rPr>
          <w:i/>
          <w:color w:val="000000"/>
        </w:rPr>
        <w:t>Mon V</w:t>
      </w:r>
      <w:r w:rsidRPr="005A49AD">
        <w:rPr>
          <w:i/>
          <w:color w:val="000000"/>
        </w:rPr>
        <w:t>oisin Totoro</w:t>
      </w:r>
      <w:r>
        <w:rPr>
          <w:color w:val="000000"/>
        </w:rPr>
        <w:t xml:space="preserve">. Le second réalisateur est Isao Takahata avec son œuvre cinématographique </w:t>
      </w:r>
      <w:r w:rsidRPr="005A49AD">
        <w:rPr>
          <w:i/>
          <w:color w:val="000000"/>
        </w:rPr>
        <w:t>Le Tombeau des lucioles</w:t>
      </w:r>
      <w:r>
        <w:rPr>
          <w:color w:val="000000"/>
        </w:rPr>
        <w:t xml:space="preserve">. Le troisième réalisateur se nomme Katsuhiro Ôtomo et son film </w:t>
      </w:r>
      <w:r w:rsidRPr="005A49AD">
        <w:rPr>
          <w:i/>
          <w:color w:val="000000"/>
        </w:rPr>
        <w:t>Akira</w:t>
      </w:r>
      <w:r>
        <w:rPr>
          <w:color w:val="000000"/>
        </w:rPr>
        <w:t xml:space="preserve">. Et le dernier réalisateur est Sunao Katabuchi avec son œuvre filmique </w:t>
      </w:r>
      <w:r w:rsidRPr="005A49AD">
        <w:rPr>
          <w:i/>
          <w:color w:val="000000"/>
        </w:rPr>
        <w:t>Dans un recoin de ce monde</w:t>
      </w:r>
      <w:r>
        <w:rPr>
          <w:color w:val="000000"/>
        </w:rPr>
        <w:t>.</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L’une des principales problématiques de mémoire est de savoir, comment la bombe atomique est-elle représentée dans des outils culturels tels que les bandes dessinées japonaises et les films d’animation adaptés ? Par quel type de média se diffusent les films d’animation ? Et permettent d’une part une forme de légitimation auprès des critiques du 7e Art et du 9e Art, et d’autre part à la constitution d’une communauté francophone qui s'inscrit dans une tendance pop culture.</w:t>
      </w:r>
    </w:p>
    <w:p w:rsidR="002476C6" w:rsidRDefault="002476C6" w:rsidP="002476C6">
      <w:pPr>
        <w:pStyle w:val="NormalWeb"/>
        <w:spacing w:before="0" w:beforeAutospacing="0" w:after="0" w:afterAutospacing="0" w:line="276" w:lineRule="auto"/>
        <w:jc w:val="both"/>
      </w:pPr>
      <w:r>
        <w:rPr>
          <w:color w:val="000000"/>
        </w:rPr>
        <w:t xml:space="preserve">Ainsi grâce à Voyant Tools, l’objectif de ma démarche implique l'identification </w:t>
      </w:r>
      <w:r w:rsidR="00211C8D">
        <w:rPr>
          <w:color w:val="000000"/>
        </w:rPr>
        <w:t>récurrente</w:t>
      </w:r>
      <w:r>
        <w:rPr>
          <w:color w:val="000000"/>
        </w:rPr>
        <w:t xml:space="preserve"> de différents termes, personnalités, pouvant ainsi répondre aux différentes problématiques évoquées précédemment.</w:t>
      </w:r>
    </w:p>
    <w:p w:rsidR="002476C6" w:rsidRDefault="002476C6" w:rsidP="002476C6">
      <w:pPr>
        <w:pStyle w:val="NormalWeb"/>
        <w:spacing w:before="0" w:beforeAutospacing="0" w:after="0" w:afterAutospacing="0" w:line="276" w:lineRule="auto"/>
        <w:jc w:val="both"/>
        <w:rPr>
          <w:color w:val="000000"/>
        </w:rPr>
      </w:pPr>
    </w:p>
    <w:p w:rsidR="0036505E" w:rsidRDefault="0036505E">
      <w:pPr>
        <w:rPr>
          <w:rFonts w:ascii="Times New Roman" w:eastAsia="Times New Roman" w:hAnsi="Times New Roman" w:cs="Times New Roman"/>
          <w:b/>
          <w:color w:val="000000"/>
          <w:sz w:val="24"/>
          <w:szCs w:val="24"/>
          <w:u w:val="single"/>
          <w:lang w:eastAsia="fr-FR"/>
        </w:rPr>
      </w:pPr>
      <w:r>
        <w:rPr>
          <w:b/>
          <w:color w:val="000000"/>
          <w:u w:val="single"/>
        </w:rPr>
        <w:br w:type="page"/>
      </w: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Default="0036505E" w:rsidP="0036505E">
      <w:pPr>
        <w:pStyle w:val="NormalWeb"/>
        <w:spacing w:before="0" w:beforeAutospacing="0" w:after="0" w:afterAutospacing="0" w:line="276" w:lineRule="auto"/>
        <w:jc w:val="center"/>
        <w:rPr>
          <w:b/>
          <w:color w:val="000000"/>
          <w:u w:val="single"/>
        </w:rPr>
      </w:pPr>
    </w:p>
    <w:p w:rsidR="0036505E" w:rsidRPr="0036505E" w:rsidRDefault="0036505E" w:rsidP="0036505E">
      <w:pPr>
        <w:pStyle w:val="NormalWeb"/>
        <w:spacing w:before="0" w:beforeAutospacing="0" w:after="0" w:afterAutospacing="0" w:line="276" w:lineRule="auto"/>
        <w:jc w:val="center"/>
        <w:rPr>
          <w:b/>
          <w:sz w:val="48"/>
          <w:szCs w:val="48"/>
        </w:rPr>
      </w:pPr>
      <w:r w:rsidRPr="0036505E">
        <w:rPr>
          <w:b/>
          <w:color w:val="000000"/>
          <w:sz w:val="48"/>
          <w:szCs w:val="48"/>
        </w:rPr>
        <w:t>État de l’art </w:t>
      </w:r>
    </w:p>
    <w:p w:rsidR="002476C6" w:rsidRDefault="002476C6" w:rsidP="0036505E">
      <w:pPr>
        <w:rPr>
          <w:b/>
          <w:color w:val="000000"/>
          <w:u w:val="single"/>
        </w:rPr>
      </w:pPr>
    </w:p>
    <w:p w:rsidR="0036505E" w:rsidRDefault="0036505E" w:rsidP="0036505E">
      <w:pPr>
        <w:rPr>
          <w:b/>
          <w:color w:val="000000"/>
          <w:u w:val="single"/>
        </w:rPr>
      </w:pPr>
    </w:p>
    <w:p w:rsidR="0036505E" w:rsidRDefault="0036505E" w:rsidP="0036505E">
      <w:pPr>
        <w:rPr>
          <w:b/>
          <w:color w:val="000000"/>
          <w:u w:val="single"/>
        </w:rPr>
      </w:pPr>
    </w:p>
    <w:p w:rsidR="0036505E" w:rsidRDefault="0036505E" w:rsidP="0036505E">
      <w:pPr>
        <w:rPr>
          <w:b/>
          <w:color w:val="000000"/>
          <w:u w:val="single"/>
        </w:rPr>
      </w:pPr>
    </w:p>
    <w:p w:rsidR="0036505E" w:rsidRDefault="0036505E" w:rsidP="0036505E">
      <w:pPr>
        <w:rPr>
          <w:b/>
          <w:color w:val="000000"/>
          <w:u w:val="single"/>
        </w:rPr>
      </w:pPr>
    </w:p>
    <w:p w:rsidR="0036505E" w:rsidRDefault="0036505E" w:rsidP="0036505E">
      <w:pPr>
        <w:rPr>
          <w:b/>
          <w:color w:val="000000"/>
          <w:u w:val="single"/>
        </w:rPr>
      </w:pPr>
    </w:p>
    <w:p w:rsidR="0036505E" w:rsidRDefault="0036505E" w:rsidP="0036505E">
      <w:pPr>
        <w:rPr>
          <w:b/>
          <w:color w:val="000000"/>
          <w:u w:val="single"/>
        </w:rPr>
      </w:pPr>
    </w:p>
    <w:p w:rsidR="0036505E" w:rsidRDefault="0036505E" w:rsidP="0036505E">
      <w:pPr>
        <w:rPr>
          <w:b/>
          <w:color w:val="000000"/>
          <w:u w:val="single"/>
        </w:rPr>
      </w:pPr>
    </w:p>
    <w:p w:rsidR="0036505E" w:rsidRDefault="0036505E" w:rsidP="0036505E">
      <w:pPr>
        <w:rPr>
          <w:b/>
          <w:color w:val="000000"/>
          <w:u w:val="single"/>
        </w:rPr>
      </w:pPr>
    </w:p>
    <w:p w:rsidR="0036505E" w:rsidRDefault="0036505E" w:rsidP="0036505E">
      <w:pPr>
        <w:rPr>
          <w:b/>
          <w:color w:val="000000"/>
          <w:u w:val="single"/>
        </w:rPr>
      </w:pPr>
    </w:p>
    <w:p w:rsidR="0036505E" w:rsidRDefault="0036505E" w:rsidP="0036505E">
      <w:pPr>
        <w:rPr>
          <w:b/>
          <w:color w:val="000000"/>
          <w:u w:val="single"/>
        </w:rPr>
      </w:pPr>
    </w:p>
    <w:p w:rsidR="0036505E" w:rsidRDefault="0036505E" w:rsidP="0036505E">
      <w:pPr>
        <w:rPr>
          <w:b/>
          <w:color w:val="000000"/>
          <w:u w:val="single"/>
        </w:rPr>
      </w:pPr>
    </w:p>
    <w:p w:rsidR="0036505E" w:rsidRPr="0036505E" w:rsidRDefault="0036505E" w:rsidP="0036505E">
      <w:pPr>
        <w:rPr>
          <w:rFonts w:ascii="Times New Roman" w:eastAsia="Times New Roman" w:hAnsi="Times New Roman" w:cs="Times New Roman"/>
          <w:b/>
          <w:color w:val="000000"/>
          <w:sz w:val="24"/>
          <w:szCs w:val="24"/>
          <w:u w:val="single"/>
          <w:lang w:eastAsia="fr-FR"/>
        </w:rPr>
      </w:pP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D’après Martin Grandjean, historien contemporanéiste spécialiste des humanités numériques, la visualisation des données est une pratique qui existe depuis de nombreux siècles. La finalité d’une visualisation de données provient d’une pratique « aussi ancienne que l’écriture »</w:t>
      </w:r>
      <w:r w:rsidR="00736E6D">
        <w:rPr>
          <w:rStyle w:val="Appelnotedebasdep"/>
          <w:color w:val="000000"/>
        </w:rPr>
        <w:footnoteReference w:id="1"/>
      </w:r>
      <w:r>
        <w:rPr>
          <w:color w:val="000000"/>
        </w:rPr>
        <w:t xml:space="preserve">, car il s'agit de confronter une image et des données d’informations. </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Selon Martin Grandjean, il existe trois types de visualisations de données pour un historien. Dans un premier temps, cette pratique est un usage, pour l’historien, afin d’éclairer une recherche, une hypothèse. Ainsi cette visualisation justifie une démarche, une démonstration, et créer différents discours épistémologiques. Donc elle génère à la fois un savoir méthodique et provient d’un savoir scientifique. Par conséquent, la visualisation des données a pour but de stimuler les observations d’un chercheur.</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Dans un second temps, la visualisation des données donne lieu à de nouvelles méthodes d’exploitation de sources. En somme, cela fait naître un réseau d’interaction entre les sources et le processus de visualisation.</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Dans un dernier temps, la visualisation des données engendre deux mécanismes contradictoires à savoir la lisibilité et l’illisibilité des informations. Solveig Vidal, spécialiste des bases de données documentaires et chef de projets numériques, formule une observation attestée. La visualisation des données illustre une méthode instaurant un « processus, une relation et un concept »</w:t>
      </w:r>
      <w:r w:rsidR="00736E6D">
        <w:rPr>
          <w:rStyle w:val="Appelnotedebasdep"/>
          <w:color w:val="000000"/>
        </w:rPr>
        <w:footnoteReference w:id="2"/>
      </w:r>
      <w:r>
        <w:rPr>
          <w:color w:val="000000"/>
        </w:rPr>
        <w:t xml:space="preserve">. En définitive, la visualisation donne lieu à une accessibilité et une transparence des informations, à condition d’entamer un nettoyage des données au préalable. </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Il subsiste plusieurs outils de visualisation des données. J’ai fait le choix de mettre en parallèle deux autres outils de visualisation que l’on peut comparer avec l’outil numérique Voyant Tools. Palladio est un outil numérique développé à l’Université de Stanford en 2003. Ce Web Tool permet de structurer et visualiser des données sous différentes formes : un tableau, un graphique et une carte. Il propose donc différents moyens d’exploiter des données afin de faciliter la compréhension d’éléments communs et non communs. L’utilisation de Palladio se réalise sur des données variables et assez structurées. Il est vrai que Palladio reste un outil numérique assez récent pouvant contenir des erreurs. Il est toujours en développement et amélioration. L’avantage de Palladio réside dans sa capacité à prendre en charge des fichiers Excel assez lourds tout comme RawGraphs sur lequel je m’apprête à présenter.</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Le second outil numérique s'intitule RawGraphs. C'est logiciel de visualisation permettant de constituer des graphiques sur des données quantifiées ou non. C'est un « open source »</w:t>
      </w:r>
      <w:r w:rsidR="00736E6D">
        <w:rPr>
          <w:rStyle w:val="Appelnotedebasdep"/>
          <w:color w:val="000000"/>
        </w:rPr>
        <w:footnoteReference w:id="3"/>
      </w:r>
      <w:r>
        <w:rPr>
          <w:color w:val="000000"/>
        </w:rPr>
        <w:t>, comportant un certain nombre de fonctionnalités telles que faire le lien entre des tableaux Excel et des graphiques provenant d’autres outils numériques. Tout comme Voyant Tools, cet outil Web transforme des données structurées sous différentes formes, des cartographies ou graphiques.</w:t>
      </w:r>
    </w:p>
    <w:p w:rsidR="002476C6" w:rsidRDefault="002476C6" w:rsidP="002476C6">
      <w:pPr>
        <w:pStyle w:val="NormalWeb"/>
        <w:spacing w:before="0" w:beforeAutospacing="0" w:after="0" w:afterAutospacing="0" w:line="276" w:lineRule="auto"/>
        <w:jc w:val="both"/>
        <w:rPr>
          <w:color w:val="000000"/>
        </w:rPr>
      </w:pPr>
    </w:p>
    <w:p w:rsidR="0036505E" w:rsidRDefault="0036505E">
      <w:pPr>
        <w:rPr>
          <w:rFonts w:ascii="Times New Roman" w:eastAsia="Times New Roman" w:hAnsi="Times New Roman" w:cs="Times New Roman"/>
          <w:b/>
          <w:color w:val="000000"/>
          <w:sz w:val="24"/>
          <w:szCs w:val="24"/>
          <w:u w:val="single"/>
          <w:lang w:eastAsia="fr-FR"/>
        </w:rPr>
      </w:pPr>
      <w:r>
        <w:rPr>
          <w:b/>
          <w:color w:val="000000"/>
          <w:u w:val="single"/>
        </w:rPr>
        <w:br w:type="page"/>
      </w: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Default="0036505E" w:rsidP="0036505E">
      <w:pPr>
        <w:pStyle w:val="NormalWeb"/>
        <w:spacing w:before="0" w:beforeAutospacing="0" w:after="0" w:afterAutospacing="0" w:line="276" w:lineRule="auto"/>
        <w:jc w:val="center"/>
        <w:rPr>
          <w:b/>
          <w:color w:val="000000"/>
        </w:rPr>
      </w:pPr>
    </w:p>
    <w:p w:rsidR="0036505E" w:rsidRPr="0036505E" w:rsidRDefault="0036505E" w:rsidP="0036505E">
      <w:pPr>
        <w:pStyle w:val="NormalWeb"/>
        <w:spacing w:before="0" w:beforeAutospacing="0" w:after="0" w:afterAutospacing="0" w:line="276" w:lineRule="auto"/>
        <w:jc w:val="center"/>
        <w:rPr>
          <w:b/>
          <w:sz w:val="48"/>
          <w:szCs w:val="48"/>
        </w:rPr>
      </w:pPr>
      <w:r w:rsidRPr="0036505E">
        <w:rPr>
          <w:b/>
          <w:color w:val="000000"/>
          <w:sz w:val="48"/>
          <w:szCs w:val="48"/>
        </w:rPr>
        <w:t xml:space="preserve">Présentation de Voyant Tools et </w:t>
      </w:r>
      <w:r w:rsidR="002728D7">
        <w:rPr>
          <w:b/>
          <w:color w:val="000000"/>
          <w:sz w:val="48"/>
          <w:szCs w:val="48"/>
        </w:rPr>
        <w:t>l’</w:t>
      </w:r>
      <w:r w:rsidRPr="0036505E">
        <w:rPr>
          <w:b/>
          <w:color w:val="000000"/>
          <w:sz w:val="48"/>
          <w:szCs w:val="48"/>
        </w:rPr>
        <w:t>analyse des corpus de sources</w:t>
      </w:r>
    </w:p>
    <w:p w:rsidR="0036505E" w:rsidRDefault="0036505E">
      <w:pPr>
        <w:rPr>
          <w:rFonts w:ascii="Times New Roman" w:eastAsia="Times New Roman" w:hAnsi="Times New Roman" w:cs="Times New Roman"/>
          <w:b/>
          <w:color w:val="000000"/>
          <w:sz w:val="24"/>
          <w:szCs w:val="24"/>
          <w:u w:val="single"/>
          <w:lang w:eastAsia="fr-FR"/>
        </w:rPr>
      </w:pPr>
      <w:r>
        <w:rPr>
          <w:b/>
          <w:color w:val="000000"/>
          <w:u w:val="single"/>
        </w:rPr>
        <w:br w:type="page"/>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Voyant Tools est un outil numérique développé par deux universitaires Stéfan Sinclair et Geoffrey Rockwell en 2003</w:t>
      </w:r>
      <w:r w:rsidR="00736E6D">
        <w:rPr>
          <w:rStyle w:val="Appelnotedebasdep"/>
          <w:color w:val="000000"/>
        </w:rPr>
        <w:footnoteReference w:id="4"/>
      </w:r>
      <w:r>
        <w:rPr>
          <w:color w:val="000000"/>
        </w:rPr>
        <w:t>, étant un open source</w:t>
      </w:r>
      <w:r w:rsidR="00736E6D">
        <w:rPr>
          <w:rStyle w:val="Appelnotedebasdep"/>
          <w:color w:val="000000"/>
        </w:rPr>
        <w:footnoteReference w:id="5"/>
      </w:r>
      <w:r>
        <w:rPr>
          <w:color w:val="000000"/>
        </w:rPr>
        <w:t>. Il permet d’analyser des données sous forme de texte. Il hérite d’un véritable processus de Text mining incorporant différentes logiques linguistiques, sémantiques et statistiques. Il prend en charge de nombreux types de fichiers à savoir : ODT, Word, PDF, Excel… .</w:t>
      </w:r>
    </w:p>
    <w:p w:rsidR="002476C6" w:rsidRDefault="002476C6" w:rsidP="002476C6">
      <w:pPr>
        <w:pStyle w:val="NormalWeb"/>
        <w:spacing w:before="0" w:beforeAutospacing="0" w:after="0" w:afterAutospacing="0" w:line="276" w:lineRule="auto"/>
        <w:jc w:val="both"/>
      </w:pPr>
      <w:r>
        <w:rPr>
          <w:color w:val="000000"/>
        </w:rPr>
        <w:t xml:space="preserve">Je suis passée par la plateforme Huma-Num afin d’accéder à Voyant Tools. Comme on peut le voir l’interface est plutôt simple d’utilisation. </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rPr>
          <w:color w:val="000000"/>
        </w:rPr>
      </w:pPr>
      <w:r>
        <w:rPr>
          <w:color w:val="000000"/>
        </w:rPr>
        <w:t>L’outil propose trois différentes manières d’ajouter des données que l’on souhaite analyser :</w:t>
      </w:r>
    </w:p>
    <w:p w:rsidR="008E3B51" w:rsidRDefault="008E3B51" w:rsidP="002476C6">
      <w:pPr>
        <w:pStyle w:val="NormalWeb"/>
        <w:spacing w:before="0" w:beforeAutospacing="0" w:after="0" w:afterAutospacing="0" w:line="276" w:lineRule="auto"/>
        <w:jc w:val="both"/>
        <w:rPr>
          <w:color w:val="000000"/>
        </w:rPr>
      </w:pPr>
    </w:p>
    <w:p w:rsidR="008E3B51" w:rsidRDefault="008E3B51" w:rsidP="002476C6">
      <w:pPr>
        <w:pStyle w:val="NormalWeb"/>
        <w:spacing w:before="0" w:beforeAutospacing="0" w:after="0" w:afterAutospacing="0" w:line="276" w:lineRule="auto"/>
        <w:jc w:val="both"/>
      </w:pPr>
      <w:r>
        <w:rPr>
          <w:noProof/>
        </w:rPr>
        <w:drawing>
          <wp:inline distT="0" distB="0" distL="0" distR="0">
            <wp:extent cx="5760720" cy="2539365"/>
            <wp:effectExtent l="95250" t="95250" r="87630" b="89535"/>
            <wp:docPr id="2" name="Image 1" descr="Capture d’écran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63).png"/>
                    <pic:cNvPicPr/>
                  </pic:nvPicPr>
                  <pic:blipFill>
                    <a:blip r:embed="rId8" cstate="print"/>
                    <a:stretch>
                      <a:fillRect/>
                    </a:stretch>
                  </pic:blipFill>
                  <pic:spPr>
                    <a:xfrm>
                      <a:off x="0" y="0"/>
                      <a:ext cx="5760720" cy="25393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76C6" w:rsidRDefault="002476C6" w:rsidP="002476C6">
      <w:pPr>
        <w:pStyle w:val="NormalWeb"/>
        <w:spacing w:before="0" w:beforeAutospacing="0" w:after="0" w:afterAutospacing="0" w:line="276" w:lineRule="auto"/>
        <w:jc w:val="both"/>
        <w:rPr>
          <w:color w:val="000000"/>
        </w:rPr>
      </w:pPr>
    </w:p>
    <w:p w:rsidR="002476C6" w:rsidRPr="00211C8D" w:rsidRDefault="002476C6" w:rsidP="002476C6">
      <w:pPr>
        <w:pStyle w:val="NormalWeb"/>
        <w:spacing w:before="0" w:beforeAutospacing="0" w:after="0" w:afterAutospacing="0" w:line="276" w:lineRule="auto"/>
        <w:jc w:val="both"/>
        <w:rPr>
          <w:color w:val="FF0000"/>
        </w:rPr>
      </w:pPr>
      <w:r>
        <w:rPr>
          <w:color w:val="000000"/>
        </w:rPr>
        <w:t>Dans un premier temps, on peut</w:t>
      </w:r>
      <w:r w:rsidR="00C92536">
        <w:rPr>
          <w:color w:val="000000"/>
        </w:rPr>
        <w:t xml:space="preserve"> directement</w:t>
      </w:r>
      <w:r>
        <w:rPr>
          <w:color w:val="000000"/>
        </w:rPr>
        <w:t xml:space="preserve"> ajouter un texte dans une zone spécifique </w:t>
      </w:r>
    </w:p>
    <w:p w:rsidR="002476C6" w:rsidRDefault="002476C6" w:rsidP="002476C6">
      <w:pPr>
        <w:pStyle w:val="NormalWeb"/>
        <w:spacing w:before="0" w:beforeAutospacing="0" w:after="0" w:afterAutospacing="0" w:line="276" w:lineRule="auto"/>
        <w:jc w:val="both"/>
      </w:pPr>
      <w:r>
        <w:rPr>
          <w:color w:val="000000"/>
        </w:rPr>
        <w:t>Dans un second temps, la sélection d’un texte peut se faire par le biais d’un corpus déjà stocké dans la base de données de l’interface.</w:t>
      </w:r>
    </w:p>
    <w:p w:rsidR="008E3B51" w:rsidRPr="008E3B51" w:rsidRDefault="002476C6" w:rsidP="002476C6">
      <w:pPr>
        <w:pStyle w:val="NormalWeb"/>
        <w:spacing w:before="0" w:beforeAutospacing="0" w:after="0" w:afterAutospacing="0" w:line="276" w:lineRule="auto"/>
        <w:jc w:val="both"/>
        <w:rPr>
          <w:color w:val="000000"/>
        </w:rPr>
      </w:pPr>
      <w:r>
        <w:rPr>
          <w:color w:val="000000"/>
        </w:rPr>
        <w:t>Dans un troisième temps, la meilleure option est de télécharger directement un ou plusieurs fichiers depuis un appareil électronique.</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 xml:space="preserve">J’ai donc choisi la troisième option pour mon cas. L’objectif de ce livrable est d’analyser différentes sources écrites (retranscriptions de vidéos de l’Inathèque) afin d’identifier certains termes et noms souvent énoncés. Je sélectionne deux sources radio, l’une étant une émission radio France Inter diffusée en 1999 et l’autre issue de France Culture diffusée en 2003. </w:t>
      </w:r>
    </w:p>
    <w:p w:rsidR="002476C6" w:rsidRDefault="002476C6" w:rsidP="002476C6">
      <w:pPr>
        <w:pStyle w:val="NormalWeb"/>
        <w:spacing w:before="0" w:beforeAutospacing="0" w:after="0" w:afterAutospacing="0" w:line="276" w:lineRule="auto"/>
        <w:jc w:val="both"/>
        <w:rPr>
          <w:color w:val="000000"/>
        </w:rPr>
      </w:pPr>
    </w:p>
    <w:p w:rsidR="008E3B51" w:rsidRDefault="008E3B51" w:rsidP="002476C6">
      <w:pPr>
        <w:pStyle w:val="NormalWeb"/>
        <w:spacing w:before="0" w:beforeAutospacing="0" w:after="0" w:afterAutospacing="0" w:line="276" w:lineRule="auto"/>
        <w:jc w:val="both"/>
        <w:rPr>
          <w:color w:val="000000"/>
        </w:rPr>
      </w:pPr>
    </w:p>
    <w:p w:rsidR="008E3B51" w:rsidRDefault="008E3B51" w:rsidP="002476C6">
      <w:pPr>
        <w:pStyle w:val="NormalWeb"/>
        <w:spacing w:before="0" w:beforeAutospacing="0" w:after="0" w:afterAutospacing="0" w:line="276" w:lineRule="auto"/>
        <w:jc w:val="both"/>
        <w:rPr>
          <w:color w:val="000000"/>
        </w:rPr>
      </w:pPr>
    </w:p>
    <w:p w:rsidR="008E3B51" w:rsidRDefault="008E3B51" w:rsidP="002476C6">
      <w:pPr>
        <w:pStyle w:val="NormalWeb"/>
        <w:spacing w:before="0" w:beforeAutospacing="0" w:after="0" w:afterAutospacing="0" w:line="276" w:lineRule="auto"/>
        <w:jc w:val="both"/>
        <w:rPr>
          <w:color w:val="000000"/>
        </w:rPr>
      </w:pPr>
      <w:r>
        <w:rPr>
          <w:noProof/>
          <w:color w:val="000000"/>
        </w:rPr>
        <w:drawing>
          <wp:inline distT="0" distB="0" distL="0" distR="0">
            <wp:extent cx="5760720" cy="2633345"/>
            <wp:effectExtent l="95250" t="95250" r="87630" b="90805"/>
            <wp:docPr id="3" name="Image 2" descr="Capture d’écran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84).png"/>
                    <pic:cNvPicPr/>
                  </pic:nvPicPr>
                  <pic:blipFill>
                    <a:blip r:embed="rId9" cstate="print"/>
                    <a:stretch>
                      <a:fillRect/>
                    </a:stretch>
                  </pic:blipFill>
                  <pic:spPr>
                    <a:xfrm>
                      <a:off x="0" y="0"/>
                      <a:ext cx="5760720" cy="26333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76C6" w:rsidRDefault="002476C6" w:rsidP="002476C6">
      <w:pPr>
        <w:pStyle w:val="NormalWeb"/>
        <w:spacing w:before="0" w:beforeAutospacing="0" w:after="0" w:afterAutospacing="0" w:line="276" w:lineRule="auto"/>
        <w:jc w:val="both"/>
      </w:pPr>
      <w:r>
        <w:rPr>
          <w:color w:val="000000"/>
        </w:rPr>
        <w:t>Après avoir téléchargé un premier corpus de texte, je suis arrivée sur le Dashboard de l’outil numérique. On peut apercevoir de nombreuses options constituant diverses méthodes d’analyse. Cependant, il y a une fenêtre qui reste interchangeable, il s’agit de la fenêtre « Lecteur ». Il est impossible d’introduire des données supplémentaires dans les différents fichiers chargés.</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 xml:space="preserve">Voyant Tools propose de multiples fonctionnalités rendant l’analyse d’un corpus de sources à la fois complexe et lisible. </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L’option « Cirrus » est une fenêtr</w:t>
      </w:r>
      <w:r w:rsidR="00E762E0">
        <w:rPr>
          <w:color w:val="000000"/>
        </w:rPr>
        <w:t>e créant un « nuage »</w:t>
      </w:r>
      <w:r>
        <w:rPr>
          <w:color w:val="000000"/>
        </w:rPr>
        <w:t xml:space="preserve"> des termes les plus utilisés dans le corpus de source. La quantité ainsi que la mise en place des différents mots peuvent être modifiés. </w:t>
      </w:r>
    </w:p>
    <w:p w:rsidR="002476C6" w:rsidRDefault="002476C6" w:rsidP="002476C6">
      <w:pPr>
        <w:pStyle w:val="NormalWeb"/>
        <w:spacing w:before="0" w:beforeAutospacing="0" w:after="0" w:afterAutospacing="0" w:line="276" w:lineRule="auto"/>
        <w:jc w:val="both"/>
      </w:pPr>
      <w:r>
        <w:rPr>
          <w:color w:val="000000"/>
        </w:rPr>
        <w:t xml:space="preserve">L’option « Grappe de termes » est aussi une fenêtre regroupant les dénominations du corpus de sources dans l’ordre du document. </w:t>
      </w:r>
    </w:p>
    <w:p w:rsidR="002476C6" w:rsidRDefault="002476C6" w:rsidP="002476C6">
      <w:pPr>
        <w:pStyle w:val="NormalWeb"/>
        <w:spacing w:before="0" w:beforeAutospacing="0" w:after="0" w:afterAutospacing="0" w:line="276" w:lineRule="auto"/>
        <w:jc w:val="both"/>
      </w:pPr>
      <w:r>
        <w:rPr>
          <w:color w:val="000000"/>
        </w:rPr>
        <w:t xml:space="preserve">L’option « Tendances » représente la cadence des différents termes se trouvant dans un corpus sous la forme d’un graphique. </w:t>
      </w:r>
    </w:p>
    <w:p w:rsidR="002476C6" w:rsidRDefault="002476C6" w:rsidP="002476C6">
      <w:pPr>
        <w:pStyle w:val="NormalWeb"/>
        <w:spacing w:before="0" w:beforeAutospacing="0" w:after="0" w:afterAutospacing="0" w:line="276" w:lineRule="auto"/>
        <w:jc w:val="both"/>
      </w:pPr>
      <w:r>
        <w:rPr>
          <w:color w:val="000000"/>
        </w:rPr>
        <w:t>L’option « Contextes » est très intéressante, car il est possible de constituer une analyse comparative dans un ou plusieurs corpus de sources. En effet, on remarque deux types de procédés pour réorganiser un document. Dans un premier, ce réaménagement s’effectue par un tri du document et par les termes souvent utilisés dans le corpus. Dans un second temps, la coordination se réalise par le choix de termes sélectionnés au préalable.</w:t>
      </w:r>
    </w:p>
    <w:p w:rsidR="002476C6" w:rsidRDefault="00BC4A63" w:rsidP="002476C6">
      <w:pPr>
        <w:pStyle w:val="NormalWeb"/>
        <w:spacing w:before="0" w:beforeAutospacing="0" w:after="0" w:afterAutospacing="0" w:line="276" w:lineRule="auto"/>
        <w:jc w:val="both"/>
        <w:rPr>
          <w:color w:val="000000"/>
        </w:rPr>
      </w:pPr>
      <w:r>
        <w:rPr>
          <w:noProof/>
          <w:color w:val="000000"/>
        </w:rPr>
        <w:drawing>
          <wp:inline distT="0" distB="0" distL="0" distR="0">
            <wp:extent cx="5760720" cy="2624455"/>
            <wp:effectExtent l="95250" t="95250" r="87630" b="99695"/>
            <wp:docPr id="4" name="Image 3" descr="Capture d’écran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85).png"/>
                    <pic:cNvPicPr/>
                  </pic:nvPicPr>
                  <pic:blipFill>
                    <a:blip r:embed="rId10" cstate="print"/>
                    <a:stretch>
                      <a:fillRect/>
                    </a:stretch>
                  </pic:blipFill>
                  <pic:spPr>
                    <a:xfrm>
                      <a:off x="0" y="0"/>
                      <a:ext cx="5760720" cy="26244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E3B51" w:rsidRDefault="008E3B51"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Comme on peut le percevoir, j’ai ajouté deux corpus de sources précédemment énoncées. Tout d’abord, en utilisant l’option « Cirrus », j’ai regardé quels sont les 65 termes qui reviennent le plus souvent. Évidemment, certains verbes et noms de présentateurs, invités de plateaux, reviennent fréquemment</w:t>
      </w:r>
      <w:r w:rsidR="00E762E0">
        <w:rPr>
          <w:color w:val="000000"/>
        </w:rPr>
        <w:t xml:space="preserve"> </w:t>
      </w:r>
      <w:r>
        <w:rPr>
          <w:color w:val="000000"/>
        </w:rPr>
        <w:t>:</w:t>
      </w:r>
    </w:p>
    <w:p w:rsidR="002476C6" w:rsidRDefault="00E762E0" w:rsidP="002476C6">
      <w:pPr>
        <w:pStyle w:val="NormalWeb"/>
        <w:spacing w:before="0" w:beforeAutospacing="0" w:after="0" w:afterAutospacing="0" w:line="276" w:lineRule="auto"/>
        <w:jc w:val="both"/>
        <w:rPr>
          <w:color w:val="000000"/>
        </w:rPr>
      </w:pPr>
      <w:r>
        <w:rPr>
          <w:noProof/>
          <w:color w:val="000000"/>
        </w:rPr>
        <w:drawing>
          <wp:inline distT="0" distB="0" distL="0" distR="0">
            <wp:extent cx="3981450" cy="3066174"/>
            <wp:effectExtent l="95250" t="95250" r="95250" b="96126"/>
            <wp:docPr id="5" name="Image 4" descr="Capture d’écran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86).png"/>
                    <pic:cNvPicPr/>
                  </pic:nvPicPr>
                  <pic:blipFill>
                    <a:blip r:embed="rId11" cstate="print"/>
                    <a:stretch>
                      <a:fillRect/>
                    </a:stretch>
                  </pic:blipFill>
                  <pic:spPr>
                    <a:xfrm>
                      <a:off x="0" y="0"/>
                      <a:ext cx="3982007" cy="30666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76C6" w:rsidRDefault="002476C6" w:rsidP="002476C6">
      <w:pPr>
        <w:pStyle w:val="NormalWeb"/>
        <w:spacing w:before="0" w:beforeAutospacing="0" w:after="0" w:afterAutospacing="0" w:line="276" w:lineRule="auto"/>
        <w:jc w:val="both"/>
      </w:pPr>
      <w:r>
        <w:rPr>
          <w:color w:val="000000"/>
        </w:rPr>
        <w:t xml:space="preserve">– Miyazaki </w:t>
      </w:r>
    </w:p>
    <w:p w:rsidR="002476C6" w:rsidRDefault="002476C6" w:rsidP="002476C6">
      <w:pPr>
        <w:pStyle w:val="NormalWeb"/>
        <w:spacing w:before="0" w:beforeAutospacing="0" w:after="0" w:afterAutospacing="0" w:line="276" w:lineRule="auto"/>
        <w:jc w:val="both"/>
      </w:pPr>
      <w:r>
        <w:rPr>
          <w:color w:val="000000"/>
        </w:rPr>
        <w:t>– L’animation</w:t>
      </w:r>
    </w:p>
    <w:p w:rsidR="002476C6" w:rsidRDefault="002476C6" w:rsidP="002476C6">
      <w:pPr>
        <w:pStyle w:val="NormalWeb"/>
        <w:spacing w:before="0" w:beforeAutospacing="0" w:after="0" w:afterAutospacing="0" w:line="276" w:lineRule="auto"/>
        <w:jc w:val="both"/>
      </w:pPr>
      <w:r>
        <w:rPr>
          <w:color w:val="000000"/>
        </w:rPr>
        <w:t>– Japonais</w:t>
      </w:r>
    </w:p>
    <w:p w:rsidR="002476C6" w:rsidRDefault="002476C6" w:rsidP="002476C6">
      <w:pPr>
        <w:pStyle w:val="NormalWeb"/>
        <w:spacing w:before="0" w:beforeAutospacing="0" w:after="0" w:afterAutospacing="0" w:line="276" w:lineRule="auto"/>
        <w:jc w:val="both"/>
      </w:pPr>
      <w:r>
        <w:rPr>
          <w:color w:val="000000"/>
        </w:rPr>
        <w:t>– Film</w:t>
      </w:r>
    </w:p>
    <w:p w:rsidR="002476C6" w:rsidRDefault="002476C6" w:rsidP="002476C6">
      <w:pPr>
        <w:pStyle w:val="NormalWeb"/>
        <w:spacing w:before="0" w:beforeAutospacing="0" w:after="0" w:afterAutospacing="0" w:line="276" w:lineRule="auto"/>
        <w:jc w:val="both"/>
      </w:pPr>
      <w:r>
        <w:rPr>
          <w:color w:val="000000"/>
        </w:rPr>
        <w:t xml:space="preserve">– Cinéma </w:t>
      </w:r>
    </w:p>
    <w:p w:rsidR="002476C6" w:rsidRDefault="002476C6" w:rsidP="002476C6">
      <w:pPr>
        <w:pStyle w:val="NormalWeb"/>
        <w:spacing w:before="0" w:beforeAutospacing="0" w:after="0" w:afterAutospacing="0" w:line="276" w:lineRule="auto"/>
        <w:jc w:val="both"/>
      </w:pPr>
      <w:r>
        <w:rPr>
          <w:color w:val="000000"/>
        </w:rPr>
        <w:t>– Mononoké</w:t>
      </w:r>
    </w:p>
    <w:p w:rsidR="002476C6" w:rsidRDefault="002476C6" w:rsidP="002476C6">
      <w:pPr>
        <w:pStyle w:val="NormalWeb"/>
        <w:spacing w:before="0" w:beforeAutospacing="0" w:after="0" w:afterAutospacing="0" w:line="276" w:lineRule="auto"/>
        <w:jc w:val="both"/>
        <w:rPr>
          <w:color w:val="000000"/>
        </w:rPr>
      </w:pPr>
      <w:r>
        <w:rPr>
          <w:color w:val="000000"/>
        </w:rPr>
        <w:t>– Enfants…</w:t>
      </w:r>
    </w:p>
    <w:p w:rsidR="00E762E0" w:rsidRDefault="00E762E0" w:rsidP="002476C6">
      <w:pPr>
        <w:pStyle w:val="NormalWeb"/>
        <w:spacing w:before="0" w:beforeAutospacing="0" w:after="0" w:afterAutospacing="0" w:line="276" w:lineRule="auto"/>
        <w:jc w:val="both"/>
      </w:pPr>
    </w:p>
    <w:p w:rsidR="002476C6" w:rsidRDefault="002476C6" w:rsidP="002476C6">
      <w:pPr>
        <w:pStyle w:val="NormalWeb"/>
        <w:spacing w:before="0" w:beforeAutospacing="0" w:after="0" w:afterAutospacing="0" w:line="276" w:lineRule="auto"/>
        <w:jc w:val="both"/>
        <w:rPr>
          <w:color w:val="000000"/>
        </w:rPr>
      </w:pPr>
      <w:r>
        <w:rPr>
          <w:color w:val="000000"/>
        </w:rPr>
        <w:t>Néanmoins, je souhaite m’attarder sur des termes spécifiques qui peuvent se retrouver dans les deux corpus. J’ai sélectionné certains mots par le biais de l’option « Termes »: Miyazaki, Ôtomo, film, Mononoké, Totoro, Takahata, Akira, animation, cinéma, dessins, animés, cinéaste, science, fiction, réalisateur, auteur, l’imaginaire, long, métrage, générations, destructions, explosion, guerre, enfant, Ghibli et public.</w:t>
      </w:r>
    </w:p>
    <w:p w:rsidR="00E762E0" w:rsidRDefault="00E762E0" w:rsidP="002476C6">
      <w:pPr>
        <w:pStyle w:val="NormalWeb"/>
        <w:spacing w:before="0" w:beforeAutospacing="0" w:after="0" w:afterAutospacing="0" w:line="276" w:lineRule="auto"/>
        <w:jc w:val="both"/>
        <w:rPr>
          <w:color w:val="000000"/>
        </w:rPr>
      </w:pPr>
    </w:p>
    <w:p w:rsidR="00E762E0" w:rsidRDefault="00E762E0" w:rsidP="002476C6">
      <w:pPr>
        <w:pStyle w:val="NormalWeb"/>
        <w:spacing w:before="0" w:beforeAutospacing="0" w:after="0" w:afterAutospacing="0" w:line="276" w:lineRule="auto"/>
        <w:jc w:val="both"/>
      </w:pPr>
      <w:r>
        <w:rPr>
          <w:noProof/>
        </w:rPr>
        <w:drawing>
          <wp:inline distT="0" distB="0" distL="0" distR="0">
            <wp:extent cx="4163006" cy="3677163"/>
            <wp:effectExtent l="95250" t="95250" r="104194" b="94737"/>
            <wp:docPr id="6" name="Image 5" descr="Capture d’écran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87).png"/>
                    <pic:cNvPicPr/>
                  </pic:nvPicPr>
                  <pic:blipFill>
                    <a:blip r:embed="rId12" cstate="print"/>
                    <a:stretch>
                      <a:fillRect/>
                    </a:stretch>
                  </pic:blipFill>
                  <pic:spPr>
                    <a:xfrm>
                      <a:off x="0" y="0"/>
                      <a:ext cx="4163006" cy="367716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 xml:space="preserve">Par le biais de l’option « Tendances », la construction d’un graphique se fait automatiquement. Les données évoquées ressortent des points importants, une mise en relation aboutissant à un réseau. </w:t>
      </w:r>
    </w:p>
    <w:p w:rsidR="002476C6" w:rsidRDefault="002476C6"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Le graphique concernant ma première source (émission « Animé Japonais » radio France Culture 1999)</w:t>
      </w:r>
    </w:p>
    <w:p w:rsidR="002476C6" w:rsidRDefault="002476C6" w:rsidP="002476C6">
      <w:pPr>
        <w:pStyle w:val="NormalWeb"/>
        <w:spacing w:before="0" w:beforeAutospacing="0" w:after="0" w:afterAutospacing="0" w:line="276" w:lineRule="auto"/>
        <w:jc w:val="both"/>
        <w:rPr>
          <w:color w:val="000000"/>
        </w:rPr>
      </w:pPr>
    </w:p>
    <w:p w:rsidR="00E762E0" w:rsidRDefault="002476C6" w:rsidP="002476C6">
      <w:pPr>
        <w:pStyle w:val="NormalWeb"/>
        <w:spacing w:before="0" w:beforeAutospacing="0" w:after="0" w:afterAutospacing="0" w:line="276" w:lineRule="auto"/>
        <w:jc w:val="both"/>
        <w:rPr>
          <w:color w:val="000000"/>
        </w:rPr>
      </w:pPr>
      <w:r>
        <w:rPr>
          <w:color w:val="000000"/>
        </w:rPr>
        <w:t xml:space="preserve">Je m’aperçois que tous les réalisateurs étudiés ne sont peut-être pas forcément évoqués au même degré en termes de fréquence. Le nom du réalisateur Miyazaki revient constamment. La fréquence totale est de 86 pour Hayao Miyazaki dans les deux corpus de sources. La fréquence du nom Miyazaki est évocatrice, car d’une part les œuvres de Miyazaki deviennent un objet d'attention et de plus on ne les désigne pas comme étant juste des films d’animation, mais des films ce qui est intéressant. Les films d’animation sont mis au même niveau que les films en prises de vue de réel. Cela permet donc de relancer tout un débat autour du renouveau des films d’animation dans l’univers cinématographique. </w:t>
      </w:r>
    </w:p>
    <w:p w:rsidR="00E762E0" w:rsidRDefault="00E762E0"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rPr>
          <w:color w:val="000000"/>
        </w:rPr>
      </w:pPr>
      <w:r>
        <w:rPr>
          <w:color w:val="000000"/>
        </w:rPr>
        <w:t>Cependant, le nom du cinéaste réapparait constamment dans l’émission radio de 2003 sur France Inter</w:t>
      </w:r>
      <w:r w:rsidR="00E762E0">
        <w:rPr>
          <w:color w:val="000000"/>
        </w:rPr>
        <w:t>.</w:t>
      </w:r>
    </w:p>
    <w:p w:rsidR="00E762E0" w:rsidRDefault="00E762E0" w:rsidP="002476C6">
      <w:pPr>
        <w:pStyle w:val="NormalWeb"/>
        <w:spacing w:before="0" w:beforeAutospacing="0" w:after="0" w:afterAutospacing="0" w:line="276" w:lineRule="auto"/>
        <w:jc w:val="both"/>
      </w:pPr>
      <w:r>
        <w:rPr>
          <w:noProof/>
        </w:rPr>
        <w:drawing>
          <wp:inline distT="0" distB="0" distL="0" distR="0">
            <wp:extent cx="4210638" cy="3162742"/>
            <wp:effectExtent l="95250" t="95250" r="94662" b="94808"/>
            <wp:docPr id="7" name="Image 6" descr="Capture d’écran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88).png"/>
                    <pic:cNvPicPr/>
                  </pic:nvPicPr>
                  <pic:blipFill>
                    <a:blip r:embed="rId13" cstate="print"/>
                    <a:stretch>
                      <a:fillRect/>
                    </a:stretch>
                  </pic:blipFill>
                  <pic:spPr>
                    <a:xfrm>
                      <a:off x="0" y="0"/>
                      <a:ext cx="4210638" cy="316274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762E0" w:rsidRDefault="00E762E0" w:rsidP="002476C6">
      <w:pPr>
        <w:pStyle w:val="NormalWeb"/>
        <w:spacing w:before="0" w:beforeAutospacing="0" w:after="0" w:afterAutospacing="0" w:line="276" w:lineRule="auto"/>
        <w:jc w:val="both"/>
      </w:pPr>
    </w:p>
    <w:p w:rsidR="00E762E0" w:rsidRDefault="002476C6" w:rsidP="002476C6">
      <w:pPr>
        <w:pStyle w:val="NormalWeb"/>
        <w:spacing w:before="0" w:beforeAutospacing="0" w:after="0" w:afterAutospacing="0" w:line="276" w:lineRule="auto"/>
        <w:jc w:val="both"/>
        <w:rPr>
          <w:color w:val="000000"/>
        </w:rPr>
      </w:pPr>
      <w:r>
        <w:rPr>
          <w:color w:val="000000"/>
        </w:rPr>
        <w:t>Katsuhiro Ôtomo figure uniquement dans l’émission radio de 1999 sur France Culture</w:t>
      </w:r>
      <w:r w:rsidR="00E762E0">
        <w:rPr>
          <w:color w:val="000000"/>
        </w:rPr>
        <w:t>.</w:t>
      </w:r>
    </w:p>
    <w:p w:rsidR="00E762E0" w:rsidRDefault="00E762E0" w:rsidP="002476C6">
      <w:pPr>
        <w:pStyle w:val="NormalWeb"/>
        <w:spacing w:before="0" w:beforeAutospacing="0" w:after="0" w:afterAutospacing="0" w:line="276" w:lineRule="auto"/>
        <w:jc w:val="both"/>
        <w:rPr>
          <w:color w:val="000000"/>
        </w:rPr>
      </w:pPr>
      <w:r>
        <w:rPr>
          <w:noProof/>
          <w:color w:val="000000"/>
        </w:rPr>
        <w:drawing>
          <wp:inline distT="0" distB="0" distL="0" distR="0">
            <wp:extent cx="4277322" cy="3639058"/>
            <wp:effectExtent l="95250" t="95250" r="104178" b="94742"/>
            <wp:docPr id="8" name="Image 7" descr="Capture d’écran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89).png"/>
                    <pic:cNvPicPr/>
                  </pic:nvPicPr>
                  <pic:blipFill>
                    <a:blip r:embed="rId14" cstate="print"/>
                    <a:stretch>
                      <a:fillRect/>
                    </a:stretch>
                  </pic:blipFill>
                  <pic:spPr>
                    <a:xfrm>
                      <a:off x="0" y="0"/>
                      <a:ext cx="4277322" cy="363905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762E0" w:rsidRDefault="00E762E0" w:rsidP="002476C6">
      <w:pPr>
        <w:pStyle w:val="NormalWeb"/>
        <w:spacing w:before="0" w:beforeAutospacing="0" w:after="0" w:afterAutospacing="0" w:line="276" w:lineRule="auto"/>
        <w:jc w:val="both"/>
        <w:rPr>
          <w:color w:val="000000"/>
        </w:rPr>
      </w:pPr>
    </w:p>
    <w:p w:rsidR="00E762E0" w:rsidRDefault="00E762E0" w:rsidP="002476C6">
      <w:pPr>
        <w:pStyle w:val="NormalWeb"/>
        <w:spacing w:before="0" w:beforeAutospacing="0" w:after="0" w:afterAutospacing="0" w:line="276" w:lineRule="auto"/>
        <w:jc w:val="both"/>
        <w:rPr>
          <w:color w:val="000000"/>
        </w:rPr>
      </w:pPr>
    </w:p>
    <w:p w:rsidR="00E762E0" w:rsidRDefault="00E762E0" w:rsidP="002476C6">
      <w:pPr>
        <w:pStyle w:val="NormalWeb"/>
        <w:spacing w:before="0" w:beforeAutospacing="0" w:after="0" w:afterAutospacing="0" w:line="276" w:lineRule="auto"/>
        <w:jc w:val="both"/>
        <w:rPr>
          <w:color w:val="000000"/>
        </w:rPr>
      </w:pPr>
    </w:p>
    <w:p w:rsidR="00E762E0" w:rsidRDefault="002476C6" w:rsidP="002476C6">
      <w:pPr>
        <w:pStyle w:val="NormalWeb"/>
        <w:spacing w:before="0" w:beforeAutospacing="0" w:after="0" w:afterAutospacing="0" w:line="276" w:lineRule="auto"/>
        <w:jc w:val="both"/>
        <w:rPr>
          <w:color w:val="000000"/>
        </w:rPr>
      </w:pPr>
      <w:r>
        <w:rPr>
          <w:color w:val="000000"/>
        </w:rPr>
        <w:t xml:space="preserve">Isao Takahata revient à de nombreuses reprises dans l’émission radio de 2003, ce qui est surprenant pour ma part. </w:t>
      </w:r>
    </w:p>
    <w:p w:rsidR="00E762E0" w:rsidRDefault="00E762E0" w:rsidP="002476C6">
      <w:pPr>
        <w:pStyle w:val="NormalWeb"/>
        <w:spacing w:before="0" w:beforeAutospacing="0" w:after="0" w:afterAutospacing="0" w:line="276" w:lineRule="auto"/>
        <w:jc w:val="both"/>
        <w:rPr>
          <w:color w:val="000000"/>
        </w:rPr>
      </w:pPr>
      <w:r>
        <w:rPr>
          <w:noProof/>
          <w:color w:val="000000"/>
        </w:rPr>
        <w:drawing>
          <wp:inline distT="0" distB="0" distL="0" distR="0">
            <wp:extent cx="3859019" cy="3228975"/>
            <wp:effectExtent l="95250" t="95250" r="103381" b="104775"/>
            <wp:docPr id="10" name="Image 9" descr="Capture d’écran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90).png"/>
                    <pic:cNvPicPr/>
                  </pic:nvPicPr>
                  <pic:blipFill>
                    <a:blip r:embed="rId15" cstate="print"/>
                    <a:stretch>
                      <a:fillRect/>
                    </a:stretch>
                  </pic:blipFill>
                  <pic:spPr>
                    <a:xfrm>
                      <a:off x="0" y="0"/>
                      <a:ext cx="3858975" cy="322893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762E0" w:rsidRDefault="00E762E0" w:rsidP="002476C6">
      <w:pPr>
        <w:pStyle w:val="NormalWeb"/>
        <w:spacing w:before="0" w:beforeAutospacing="0" w:after="0" w:afterAutospacing="0" w:line="276" w:lineRule="auto"/>
        <w:jc w:val="both"/>
        <w:rPr>
          <w:color w:val="000000"/>
        </w:rPr>
      </w:pPr>
    </w:p>
    <w:p w:rsidR="002476C6" w:rsidRDefault="002476C6" w:rsidP="002476C6">
      <w:pPr>
        <w:pStyle w:val="NormalWeb"/>
        <w:spacing w:before="0" w:beforeAutospacing="0" w:after="0" w:afterAutospacing="0" w:line="276" w:lineRule="auto"/>
        <w:jc w:val="both"/>
      </w:pPr>
      <w:r>
        <w:rPr>
          <w:color w:val="000000"/>
        </w:rPr>
        <w:t>Ainsi ce résultat renforce une hypothèse selon laquelle la redécouverte des œuvres du cinéaste commence entre 2002 et 2003.</w:t>
      </w:r>
    </w:p>
    <w:p w:rsidR="002476C6" w:rsidRDefault="002476C6" w:rsidP="002476C6">
      <w:pPr>
        <w:pStyle w:val="NormalWeb"/>
        <w:spacing w:before="0" w:beforeAutospacing="0" w:after="0" w:afterAutospacing="0" w:line="276" w:lineRule="auto"/>
        <w:jc w:val="both"/>
        <w:rPr>
          <w:color w:val="000000"/>
        </w:rPr>
      </w:pPr>
    </w:p>
    <w:p w:rsidR="00A223DF" w:rsidRDefault="002476C6" w:rsidP="002476C6">
      <w:pPr>
        <w:pStyle w:val="NormalWeb"/>
        <w:spacing w:before="0" w:beforeAutospacing="0" w:after="0" w:afterAutospacing="0" w:line="276" w:lineRule="auto"/>
        <w:jc w:val="both"/>
        <w:rPr>
          <w:color w:val="000000"/>
        </w:rPr>
      </w:pPr>
      <w:r>
        <w:rPr>
          <w:color w:val="000000"/>
        </w:rPr>
        <w:t xml:space="preserve">En sélectionnant le terme « cinéaste », j’observe des résultats qui répondent à une des problématiques majeures de mon mémoire. </w:t>
      </w:r>
    </w:p>
    <w:p w:rsidR="00A223DF" w:rsidRDefault="00A223DF" w:rsidP="002476C6">
      <w:pPr>
        <w:pStyle w:val="NormalWeb"/>
        <w:spacing w:before="0" w:beforeAutospacing="0" w:after="0" w:afterAutospacing="0" w:line="276" w:lineRule="auto"/>
        <w:jc w:val="both"/>
        <w:rPr>
          <w:color w:val="000000"/>
        </w:rPr>
      </w:pPr>
      <w:r>
        <w:rPr>
          <w:noProof/>
          <w:color w:val="000000"/>
        </w:rPr>
        <w:drawing>
          <wp:inline distT="0" distB="0" distL="0" distR="0">
            <wp:extent cx="3800475" cy="3183007"/>
            <wp:effectExtent l="95250" t="95250" r="104775" b="93593"/>
            <wp:docPr id="11" name="Image 10" descr="Capture d’écran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91).png"/>
                    <pic:cNvPicPr/>
                  </pic:nvPicPr>
                  <pic:blipFill>
                    <a:blip r:embed="rId16" cstate="print"/>
                    <a:stretch>
                      <a:fillRect/>
                    </a:stretch>
                  </pic:blipFill>
                  <pic:spPr>
                    <a:xfrm>
                      <a:off x="0" y="0"/>
                      <a:ext cx="3800426" cy="31829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76C6" w:rsidRDefault="002476C6" w:rsidP="002476C6">
      <w:pPr>
        <w:pStyle w:val="NormalWeb"/>
        <w:spacing w:before="0" w:beforeAutospacing="0" w:after="0" w:afterAutospacing="0" w:line="276" w:lineRule="auto"/>
        <w:jc w:val="both"/>
      </w:pPr>
      <w:r>
        <w:rPr>
          <w:color w:val="000000"/>
        </w:rPr>
        <w:t xml:space="preserve">En effet, je remarque que ce mot surgit fréquemment dans l’émission radio de 2003 sur France Inter en comparaison avec l’émission radio de 1998 sur France Culture. Je constate que la reconnaissance et la légitimation des réalisateurs animés s’appliquent à partir de l’année 2003. Le vocabulaire employé pour les définir est important. On ne les considère pas seulement comme des réalisateurs animés, mais aussi comme des cinéastes. </w:t>
      </w:r>
    </w:p>
    <w:p w:rsidR="002476C6" w:rsidRDefault="002476C6" w:rsidP="002476C6">
      <w:pPr>
        <w:pStyle w:val="NormalWeb"/>
        <w:spacing w:before="0" w:beforeAutospacing="0" w:after="0" w:afterAutospacing="0" w:line="276" w:lineRule="auto"/>
        <w:jc w:val="both"/>
        <w:rPr>
          <w:color w:val="000000"/>
        </w:rPr>
      </w:pPr>
    </w:p>
    <w:p w:rsidR="00B7271D" w:rsidRDefault="002476C6" w:rsidP="002476C6">
      <w:pPr>
        <w:pStyle w:val="NormalWeb"/>
        <w:spacing w:before="0" w:beforeAutospacing="0" w:after="0" w:afterAutospacing="0" w:line="276" w:lineRule="auto"/>
        <w:jc w:val="both"/>
        <w:rPr>
          <w:color w:val="000000"/>
        </w:rPr>
      </w:pPr>
      <w:r>
        <w:rPr>
          <w:color w:val="000000"/>
        </w:rPr>
        <w:t xml:space="preserve">Une des options les plus intéressantes pour constituer une analyse comparative est la « Corrélation » des termes. </w:t>
      </w:r>
    </w:p>
    <w:p w:rsidR="00B7271D" w:rsidRDefault="00B7271D" w:rsidP="002476C6">
      <w:pPr>
        <w:pStyle w:val="NormalWeb"/>
        <w:spacing w:before="0" w:beforeAutospacing="0" w:after="0" w:afterAutospacing="0" w:line="276" w:lineRule="auto"/>
        <w:jc w:val="both"/>
        <w:rPr>
          <w:color w:val="000000"/>
        </w:rPr>
      </w:pPr>
      <w:r>
        <w:rPr>
          <w:noProof/>
          <w:color w:val="000000"/>
        </w:rPr>
        <w:drawing>
          <wp:inline distT="0" distB="0" distL="0" distR="0">
            <wp:extent cx="5457825" cy="1993141"/>
            <wp:effectExtent l="95250" t="95250" r="104775" b="102359"/>
            <wp:docPr id="12" name="Image 11" descr="Capture d’écran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93).png"/>
                    <pic:cNvPicPr/>
                  </pic:nvPicPr>
                  <pic:blipFill>
                    <a:blip r:embed="rId17" cstate="print"/>
                    <a:stretch>
                      <a:fillRect/>
                    </a:stretch>
                  </pic:blipFill>
                  <pic:spPr>
                    <a:xfrm>
                      <a:off x="0" y="0"/>
                      <a:ext cx="5457825" cy="19931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7271D" w:rsidRDefault="002476C6" w:rsidP="002476C6">
      <w:pPr>
        <w:pStyle w:val="NormalWeb"/>
        <w:spacing w:before="0" w:beforeAutospacing="0" w:after="0" w:afterAutospacing="0" w:line="276" w:lineRule="auto"/>
        <w:jc w:val="both"/>
        <w:rPr>
          <w:color w:val="000000"/>
        </w:rPr>
      </w:pPr>
      <w:r>
        <w:rPr>
          <w:color w:val="000000"/>
        </w:rPr>
        <w:t xml:space="preserve">Je distingue plusieurs concordances entre différents termes qui confirment encore des hypothèses. Les dénominations « auteur » et « grand » ont une fréquence assez importante, une correspondance significative. </w:t>
      </w:r>
    </w:p>
    <w:p w:rsidR="00B7271D" w:rsidRDefault="00B7271D" w:rsidP="002476C6">
      <w:pPr>
        <w:pStyle w:val="NormalWeb"/>
        <w:spacing w:before="0" w:beforeAutospacing="0" w:after="0" w:afterAutospacing="0" w:line="276" w:lineRule="auto"/>
        <w:jc w:val="both"/>
        <w:rPr>
          <w:color w:val="000000"/>
        </w:rPr>
      </w:pPr>
    </w:p>
    <w:p w:rsidR="00B7271D" w:rsidRDefault="00B7271D" w:rsidP="002476C6">
      <w:pPr>
        <w:pStyle w:val="NormalWeb"/>
        <w:spacing w:before="0" w:beforeAutospacing="0" w:after="0" w:afterAutospacing="0" w:line="276" w:lineRule="auto"/>
        <w:jc w:val="both"/>
        <w:rPr>
          <w:color w:val="000000"/>
        </w:rPr>
      </w:pPr>
      <w:r>
        <w:rPr>
          <w:noProof/>
          <w:color w:val="000000"/>
        </w:rPr>
        <w:drawing>
          <wp:inline distT="0" distB="0" distL="0" distR="0">
            <wp:extent cx="5572125" cy="2654621"/>
            <wp:effectExtent l="95250" t="95250" r="104775" b="88579"/>
            <wp:docPr id="13" name="Image 12" descr="Capture d’écran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92).png"/>
                    <pic:cNvPicPr/>
                  </pic:nvPicPr>
                  <pic:blipFill>
                    <a:blip r:embed="rId18" cstate="print"/>
                    <a:stretch>
                      <a:fillRect/>
                    </a:stretch>
                  </pic:blipFill>
                  <pic:spPr>
                    <a:xfrm>
                      <a:off x="0" y="0"/>
                      <a:ext cx="5572125" cy="265462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76C6" w:rsidRDefault="002476C6" w:rsidP="002476C6">
      <w:pPr>
        <w:pStyle w:val="NormalWeb"/>
        <w:spacing w:before="0" w:beforeAutospacing="0" w:after="0" w:afterAutospacing="0" w:line="276" w:lineRule="auto"/>
        <w:jc w:val="both"/>
      </w:pPr>
      <w:r>
        <w:rPr>
          <w:color w:val="000000"/>
        </w:rPr>
        <w:t>En examinant la contextualisation du mot « auteur », je discerne un réseau d’interaction entre des données sélectionné au préalable. La fondation de liens entre les termes « grand publics », « </w:t>
      </w:r>
      <w:r w:rsidRPr="002476C6">
        <w:t>Miyazaki</w:t>
      </w:r>
      <w:r>
        <w:rPr>
          <w:color w:val="808080"/>
        </w:rPr>
        <w:t> </w:t>
      </w:r>
      <w:r>
        <w:rPr>
          <w:color w:val="000000"/>
        </w:rPr>
        <w:t>», « </w:t>
      </w:r>
      <w:r w:rsidRPr="002476C6">
        <w:t>Mononoké</w:t>
      </w:r>
      <w:r>
        <w:rPr>
          <w:color w:val="808080"/>
        </w:rPr>
        <w:t> </w:t>
      </w:r>
      <w:r>
        <w:rPr>
          <w:color w:val="000000"/>
        </w:rPr>
        <w:t xml:space="preserve">» « réel » et « plus grand », soulignent l’importance d’Hayao Miyazaki ainsi que son œuvre </w:t>
      </w:r>
      <w:r w:rsidRPr="00211C8D">
        <w:rPr>
          <w:i/>
          <w:color w:val="000000"/>
        </w:rPr>
        <w:t>La Princesse Mononoké</w:t>
      </w:r>
      <w:r>
        <w:rPr>
          <w:color w:val="000000"/>
        </w:rPr>
        <w:t>. En définitive, la légitimation de l’animation passe par le long-métrage d’Hayao Miyazaki sorti en 1999.</w:t>
      </w:r>
    </w:p>
    <w:p w:rsidR="006D1220" w:rsidRDefault="00C07D6A">
      <w:pPr>
        <w:rPr>
          <w:rFonts w:ascii="Times New Roman" w:hAnsi="Times New Roman" w:cs="Times New Roman"/>
          <w:sz w:val="24"/>
          <w:szCs w:val="24"/>
        </w:rPr>
      </w:pPr>
    </w:p>
    <w:p w:rsidR="0036505E" w:rsidRDefault="0036505E">
      <w:pPr>
        <w:rPr>
          <w:rFonts w:ascii="Times New Roman" w:hAnsi="Times New Roman" w:cs="Times New Roman"/>
          <w:b/>
          <w:bCs/>
          <w:sz w:val="24"/>
          <w:szCs w:val="24"/>
        </w:rPr>
      </w:pPr>
      <w:r>
        <w:rPr>
          <w:rFonts w:ascii="Times New Roman" w:hAnsi="Times New Roman" w:cs="Times New Roman"/>
          <w:b/>
          <w:bCs/>
          <w:sz w:val="24"/>
          <w:szCs w:val="24"/>
        </w:rPr>
        <w:br w:type="page"/>
      </w: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Default="0036505E" w:rsidP="0036505E">
      <w:pPr>
        <w:contextualSpacing/>
        <w:jc w:val="center"/>
        <w:rPr>
          <w:rFonts w:ascii="Times New Roman" w:hAnsi="Times New Roman" w:cs="Times New Roman"/>
          <w:b/>
          <w:bCs/>
          <w:sz w:val="24"/>
          <w:szCs w:val="24"/>
        </w:rPr>
      </w:pPr>
    </w:p>
    <w:p w:rsidR="0036505E" w:rsidRPr="0036505E" w:rsidRDefault="002476C6" w:rsidP="0036505E">
      <w:pPr>
        <w:contextualSpacing/>
        <w:jc w:val="center"/>
        <w:rPr>
          <w:rFonts w:ascii="Times New Roman" w:hAnsi="Times New Roman" w:cs="Times New Roman"/>
          <w:b/>
          <w:bCs/>
          <w:sz w:val="48"/>
          <w:szCs w:val="48"/>
        </w:rPr>
      </w:pPr>
      <w:r w:rsidRPr="0036505E">
        <w:rPr>
          <w:rFonts w:ascii="Times New Roman" w:hAnsi="Times New Roman" w:cs="Times New Roman"/>
          <w:b/>
          <w:bCs/>
          <w:sz w:val="48"/>
          <w:szCs w:val="48"/>
        </w:rPr>
        <w:t>Bibliographie </w:t>
      </w:r>
      <w:r w:rsidR="0036505E" w:rsidRPr="0036505E">
        <w:rPr>
          <w:rFonts w:ascii="Times New Roman" w:hAnsi="Times New Roman" w:cs="Times New Roman"/>
          <w:b/>
          <w:bCs/>
          <w:sz w:val="48"/>
          <w:szCs w:val="48"/>
        </w:rPr>
        <w:t>/ Webographie</w:t>
      </w:r>
    </w:p>
    <w:p w:rsidR="0036505E" w:rsidRDefault="0036505E">
      <w:pPr>
        <w:rPr>
          <w:rFonts w:ascii="Times New Roman" w:hAnsi="Times New Roman" w:cs="Times New Roman"/>
          <w:b/>
          <w:bCs/>
          <w:sz w:val="24"/>
          <w:szCs w:val="24"/>
        </w:rPr>
      </w:pPr>
      <w:r>
        <w:rPr>
          <w:rFonts w:ascii="Times New Roman" w:hAnsi="Times New Roman" w:cs="Times New Roman"/>
          <w:b/>
          <w:bCs/>
          <w:sz w:val="24"/>
          <w:szCs w:val="24"/>
        </w:rPr>
        <w:br w:type="page"/>
      </w:r>
    </w:p>
    <w:p w:rsidR="002476C6" w:rsidRPr="001633FE"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b/>
          <w:bCs/>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BAILLOT, Anne, « Visualisation des réseaux : apports, défis et enjeux du travail sur les données historiques », </w:t>
      </w:r>
      <w:r w:rsidRPr="009971BE">
        <w:rPr>
          <w:rFonts w:ascii="Times New Roman" w:hAnsi="Times New Roman" w:cs="Times New Roman"/>
          <w:i/>
          <w:iCs/>
          <w:sz w:val="24"/>
          <w:szCs w:val="24"/>
        </w:rPr>
        <w:t>communication dans un congrès Numérisation de masse et traitement des grands corpus de textes utilisant des méthodes des humanités numérique</w:t>
      </w:r>
      <w:r>
        <w:rPr>
          <w:rFonts w:ascii="Times New Roman" w:hAnsi="Times New Roman" w:cs="Times New Roman"/>
          <w:sz w:val="24"/>
          <w:szCs w:val="24"/>
        </w:rPr>
        <w:t>, 2015, p.12</w:t>
      </w:r>
    </w:p>
    <w:p w:rsidR="002476C6" w:rsidRDefault="002476C6" w:rsidP="002476C6">
      <w:pPr>
        <w:contextualSpacing/>
        <w:jc w:val="both"/>
        <w:rPr>
          <w:rFonts w:ascii="Times New Roman" w:hAnsi="Times New Roman" w:cs="Times New Roman"/>
          <w:b/>
          <w:bCs/>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GRANDJEAN, Martin, « Introduction à la visualisation de données ; l’analyse de réseau en histoire », </w:t>
      </w:r>
      <w:r w:rsidRPr="00BC16D9">
        <w:rPr>
          <w:rFonts w:ascii="Times New Roman" w:hAnsi="Times New Roman" w:cs="Times New Roman"/>
          <w:i/>
          <w:iCs/>
          <w:sz w:val="24"/>
          <w:szCs w:val="24"/>
        </w:rPr>
        <w:t>Geschichte und Informatik</w:t>
      </w:r>
      <w:r>
        <w:rPr>
          <w:rFonts w:ascii="Times New Roman" w:hAnsi="Times New Roman" w:cs="Times New Roman"/>
          <w:sz w:val="24"/>
          <w:szCs w:val="24"/>
        </w:rPr>
        <w:t>, 18/19, 2015, p.109-129</w:t>
      </w:r>
    </w:p>
    <w:p w:rsidR="002476C6"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PERROT, Cédric, COMBES, Didier, FRAK, Elzbieta, « Graphe : un logiciel de visualisation de données horodatées sur un graphique 2D », </w:t>
      </w:r>
      <w:r w:rsidRPr="002A7741">
        <w:rPr>
          <w:rFonts w:ascii="Times New Roman" w:hAnsi="Times New Roman" w:cs="Times New Roman"/>
          <w:i/>
          <w:iCs/>
          <w:sz w:val="24"/>
          <w:szCs w:val="24"/>
        </w:rPr>
        <w:t>Cahier des Techniques de l’INRA</w:t>
      </w:r>
      <w:r>
        <w:rPr>
          <w:rFonts w:ascii="Times New Roman" w:hAnsi="Times New Roman" w:cs="Times New Roman"/>
          <w:sz w:val="24"/>
          <w:szCs w:val="24"/>
        </w:rPr>
        <w:t>, 2016, p.115-125</w:t>
      </w:r>
    </w:p>
    <w:p w:rsidR="002476C6"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PINCEMIN, Bénédicte, « Sept logiciels de textométrie », </w:t>
      </w:r>
      <w:r>
        <w:rPr>
          <w:rFonts w:ascii="Times New Roman" w:hAnsi="Times New Roman" w:cs="Times New Roman"/>
          <w:i/>
          <w:iCs/>
          <w:sz w:val="24"/>
          <w:szCs w:val="24"/>
        </w:rPr>
        <w:t>CNRS – IHRIM UMR</w:t>
      </w:r>
      <w:r>
        <w:rPr>
          <w:rFonts w:ascii="Times New Roman" w:hAnsi="Times New Roman" w:cs="Times New Roman"/>
          <w:sz w:val="24"/>
          <w:szCs w:val="24"/>
        </w:rPr>
        <w:t>, 2018, p.12</w:t>
      </w:r>
    </w:p>
    <w:p w:rsidR="002476C6"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REYMOND, David, « Introduction – Visualisation de données », </w:t>
      </w:r>
      <w:r w:rsidRPr="00424664">
        <w:rPr>
          <w:rFonts w:ascii="Times New Roman" w:hAnsi="Times New Roman" w:cs="Times New Roman"/>
          <w:i/>
          <w:iCs/>
          <w:sz w:val="24"/>
          <w:szCs w:val="24"/>
        </w:rPr>
        <w:t>Les Cahiers du Numérique, vol.12, 2016</w:t>
      </w:r>
      <w:r>
        <w:rPr>
          <w:rFonts w:ascii="Times New Roman" w:hAnsi="Times New Roman" w:cs="Times New Roman"/>
          <w:sz w:val="24"/>
          <w:szCs w:val="24"/>
        </w:rPr>
        <w:t>, p.9-18</w:t>
      </w:r>
    </w:p>
    <w:p w:rsidR="002476C6"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VIDAL, Solveig, « Visualisation de l’information : un panorama d’outils et de méthodes », </w:t>
      </w:r>
      <w:r w:rsidRPr="00023685">
        <w:rPr>
          <w:rFonts w:ascii="Times New Roman" w:hAnsi="Times New Roman" w:cs="Times New Roman"/>
          <w:i/>
          <w:iCs/>
          <w:sz w:val="24"/>
          <w:szCs w:val="24"/>
        </w:rPr>
        <w:t>INIST-CNRS</w:t>
      </w:r>
      <w:r>
        <w:rPr>
          <w:rFonts w:ascii="Times New Roman" w:hAnsi="Times New Roman" w:cs="Times New Roman"/>
          <w:sz w:val="24"/>
          <w:szCs w:val="24"/>
        </w:rPr>
        <w:t>, 2006, p.4-33</w:t>
      </w:r>
    </w:p>
    <w:p w:rsidR="002476C6" w:rsidRDefault="002476C6" w:rsidP="002476C6">
      <w:pPr>
        <w:contextualSpacing/>
        <w:jc w:val="both"/>
        <w:rPr>
          <w:rFonts w:ascii="Times New Roman" w:hAnsi="Times New Roman" w:cs="Times New Roman"/>
          <w:sz w:val="24"/>
          <w:szCs w:val="24"/>
        </w:rPr>
      </w:pPr>
    </w:p>
    <w:p w:rsidR="00736E6D" w:rsidRDefault="00736E6D" w:rsidP="002476C6">
      <w:pPr>
        <w:contextualSpacing/>
        <w:jc w:val="both"/>
        <w:rPr>
          <w:rFonts w:ascii="Times New Roman" w:hAnsi="Times New Roman" w:cs="Times New Roman"/>
          <w:sz w:val="24"/>
          <w:szCs w:val="24"/>
        </w:rPr>
      </w:pPr>
    </w:p>
    <w:p w:rsidR="00736E6D" w:rsidRDefault="00736E6D"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b/>
          <w:bCs/>
          <w:sz w:val="24"/>
          <w:szCs w:val="24"/>
        </w:rPr>
      </w:pPr>
    </w:p>
    <w:p w:rsidR="002476C6" w:rsidRPr="00792DF8"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ANDERSON, Alyssa, « Using Voyant for Text Analysis », Digital history methods, 10 décembre 2020, </w:t>
      </w:r>
      <w:hyperlink r:id="rId19" w:history="1">
        <w:r w:rsidRPr="007E15EA">
          <w:rPr>
            <w:rStyle w:val="Lienhypertexte"/>
            <w:rFonts w:ascii="Times New Roman" w:hAnsi="Times New Roman" w:cs="Times New Roman"/>
            <w:sz w:val="24"/>
            <w:szCs w:val="24"/>
          </w:rPr>
          <w:t>https://ricedh.github.io/02-voyant.html</w:t>
        </w:r>
      </w:hyperlink>
    </w:p>
    <w:p w:rsidR="002476C6"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BEAUGUITTE, Laurent, « Palladio : L’exploration de données à la portée de tous », </w:t>
      </w:r>
      <w:r w:rsidRPr="00D1500C">
        <w:rPr>
          <w:rFonts w:ascii="Times New Roman" w:hAnsi="Times New Roman" w:cs="Times New Roman"/>
          <w:iCs/>
          <w:sz w:val="24"/>
          <w:szCs w:val="24"/>
        </w:rPr>
        <w:t>hypotheses.org</w:t>
      </w:r>
      <w:r>
        <w:rPr>
          <w:rFonts w:ascii="Times New Roman" w:hAnsi="Times New Roman" w:cs="Times New Roman"/>
          <w:sz w:val="24"/>
          <w:szCs w:val="24"/>
        </w:rPr>
        <w:t xml:space="preserve">, 10 décembre 2020, </w:t>
      </w:r>
      <w:hyperlink r:id="rId20" w:history="1">
        <w:r w:rsidRPr="007E15EA">
          <w:rPr>
            <w:rStyle w:val="Lienhypertexte"/>
            <w:rFonts w:ascii="Times New Roman" w:hAnsi="Times New Roman" w:cs="Times New Roman"/>
            <w:sz w:val="24"/>
            <w:szCs w:val="24"/>
          </w:rPr>
          <w:t>https://arshs.hypotheses.org/337</w:t>
        </w:r>
      </w:hyperlink>
      <w:r>
        <w:rPr>
          <w:rFonts w:ascii="Times New Roman" w:hAnsi="Times New Roman" w:cs="Times New Roman"/>
          <w:sz w:val="24"/>
          <w:szCs w:val="24"/>
        </w:rPr>
        <w:t xml:space="preserve"> </w:t>
      </w:r>
    </w:p>
    <w:p w:rsidR="002476C6"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CALADO, Filipa, « Using Voyant-Tools to Formulate Research Questions for Textual Data », </w:t>
      </w:r>
      <w:r w:rsidRPr="00D1500C">
        <w:rPr>
          <w:rFonts w:ascii="Times New Roman" w:hAnsi="Times New Roman" w:cs="Times New Roman"/>
          <w:iCs/>
          <w:sz w:val="24"/>
          <w:szCs w:val="24"/>
        </w:rPr>
        <w:t>GC Digital Fellows</w:t>
      </w:r>
      <w:r>
        <w:rPr>
          <w:rFonts w:ascii="Times New Roman" w:hAnsi="Times New Roman" w:cs="Times New Roman"/>
          <w:sz w:val="24"/>
          <w:szCs w:val="24"/>
        </w:rPr>
        <w:t xml:space="preserve">, 9 décembre 2020, </w:t>
      </w:r>
      <w:hyperlink r:id="rId21" w:history="1">
        <w:r w:rsidRPr="007E15EA">
          <w:rPr>
            <w:rStyle w:val="Lienhypertexte"/>
            <w:rFonts w:ascii="Times New Roman" w:hAnsi="Times New Roman" w:cs="Times New Roman"/>
            <w:sz w:val="24"/>
            <w:szCs w:val="24"/>
          </w:rPr>
          <w:t>https://digitalfellows.commons.gc.cuny.edu/</w:t>
        </w:r>
      </w:hyperlink>
      <w:r>
        <w:rPr>
          <w:rFonts w:ascii="Times New Roman" w:hAnsi="Times New Roman" w:cs="Times New Roman"/>
          <w:sz w:val="24"/>
          <w:szCs w:val="24"/>
        </w:rPr>
        <w:t xml:space="preserve"> </w:t>
      </w:r>
    </w:p>
    <w:p w:rsidR="002476C6"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DESCHAMPS, Christophe, « Voyant tools, un puissant service de text mining en open source », </w:t>
      </w:r>
      <w:r w:rsidRPr="00C76AD5">
        <w:rPr>
          <w:rFonts w:ascii="Times New Roman" w:hAnsi="Times New Roman" w:cs="Times New Roman"/>
          <w:i/>
          <w:iCs/>
          <w:sz w:val="24"/>
          <w:szCs w:val="24"/>
        </w:rPr>
        <w:t>Outils froids</w:t>
      </w:r>
      <w:r>
        <w:rPr>
          <w:rFonts w:ascii="Times New Roman" w:hAnsi="Times New Roman" w:cs="Times New Roman"/>
          <w:sz w:val="24"/>
          <w:szCs w:val="24"/>
        </w:rPr>
        <w:t>,</w:t>
      </w:r>
      <w:r w:rsidRPr="00D1500C">
        <w:rPr>
          <w:rFonts w:ascii="Times New Roman" w:hAnsi="Times New Roman" w:cs="Times New Roman"/>
          <w:sz w:val="24"/>
          <w:szCs w:val="24"/>
        </w:rPr>
        <w:t xml:space="preserve"> </w:t>
      </w:r>
      <w:r>
        <w:rPr>
          <w:rFonts w:ascii="Times New Roman" w:hAnsi="Times New Roman" w:cs="Times New Roman"/>
          <w:sz w:val="24"/>
          <w:szCs w:val="24"/>
        </w:rPr>
        <w:t xml:space="preserve">12 décembre 2020, </w:t>
      </w:r>
      <w:hyperlink r:id="rId22" w:history="1">
        <w:r w:rsidRPr="007E15EA">
          <w:rPr>
            <w:rStyle w:val="Lienhypertexte"/>
            <w:rFonts w:ascii="Times New Roman" w:hAnsi="Times New Roman" w:cs="Times New Roman"/>
            <w:sz w:val="24"/>
            <w:szCs w:val="24"/>
          </w:rPr>
          <w:t>https://www.outilsfroids.net/2016/02/voyant-tools-un-puissant-service-de-text-mining-en-open-source/</w:t>
        </w:r>
      </w:hyperlink>
    </w:p>
    <w:p w:rsidR="002476C6" w:rsidRDefault="002476C6" w:rsidP="002476C6">
      <w:pPr>
        <w:contextualSpacing/>
        <w:jc w:val="both"/>
        <w:rPr>
          <w:rFonts w:ascii="Times New Roman" w:hAnsi="Times New Roman" w:cs="Times New Roman"/>
          <w:sz w:val="24"/>
          <w:szCs w:val="24"/>
        </w:rPr>
      </w:pPr>
    </w:p>
    <w:p w:rsidR="002476C6" w:rsidRPr="00D1500C"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DEMPSEY, Caitlin, « Voyant : Online Text Analysis Tool », </w:t>
      </w:r>
      <w:r w:rsidRPr="00C76AD5">
        <w:rPr>
          <w:rFonts w:ascii="Times New Roman" w:hAnsi="Times New Roman" w:cs="Times New Roman"/>
          <w:i/>
          <w:iCs/>
          <w:sz w:val="24"/>
          <w:szCs w:val="24"/>
        </w:rPr>
        <w:t>Geography Tools</w:t>
      </w:r>
      <w:r>
        <w:rPr>
          <w:rFonts w:ascii="Times New Roman" w:hAnsi="Times New Roman" w:cs="Times New Roman"/>
          <w:iCs/>
          <w:sz w:val="24"/>
          <w:szCs w:val="24"/>
        </w:rPr>
        <w:t xml:space="preserve">, 10 décembre 2020,  </w:t>
      </w:r>
      <w:hyperlink r:id="rId23" w:history="1">
        <w:r w:rsidRPr="007E15EA">
          <w:rPr>
            <w:rStyle w:val="Lienhypertexte"/>
            <w:rFonts w:ascii="Times New Roman" w:hAnsi="Times New Roman" w:cs="Times New Roman"/>
            <w:iCs/>
            <w:sz w:val="24"/>
            <w:szCs w:val="24"/>
          </w:rPr>
          <w:t>https://www.geographyrealm.com/voyant-online-text-analysis-tool/</w:t>
        </w:r>
      </w:hyperlink>
      <w:r>
        <w:rPr>
          <w:rFonts w:ascii="Times New Roman" w:hAnsi="Times New Roman" w:cs="Times New Roman"/>
          <w:iCs/>
          <w:sz w:val="24"/>
          <w:szCs w:val="24"/>
        </w:rPr>
        <w:t xml:space="preserve"> </w:t>
      </w:r>
    </w:p>
    <w:p w:rsidR="002476C6"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ISMAILI, Zakariyaa, « Visualisation des données : Outils et Logiciels Gratuits », </w:t>
      </w:r>
      <w:r w:rsidRPr="00BC6ECD">
        <w:rPr>
          <w:rFonts w:ascii="Times New Roman" w:hAnsi="Times New Roman" w:cs="Times New Roman"/>
          <w:i/>
          <w:iCs/>
          <w:sz w:val="24"/>
          <w:szCs w:val="24"/>
        </w:rPr>
        <w:t>le-datascientist.fr</w:t>
      </w:r>
      <w:r>
        <w:rPr>
          <w:rFonts w:ascii="Times New Roman" w:hAnsi="Times New Roman" w:cs="Times New Roman"/>
          <w:sz w:val="24"/>
          <w:szCs w:val="24"/>
        </w:rPr>
        <w:t xml:space="preserve">, 12 décembre 2020, </w:t>
      </w:r>
      <w:hyperlink r:id="rId24" w:history="1">
        <w:r w:rsidRPr="007E15EA">
          <w:rPr>
            <w:rStyle w:val="Lienhypertexte"/>
            <w:rFonts w:ascii="Times New Roman" w:hAnsi="Times New Roman" w:cs="Times New Roman"/>
            <w:sz w:val="24"/>
            <w:szCs w:val="24"/>
          </w:rPr>
          <w:t>https://le-datascientist.fr/visualisation-des-donnees-outils-et-logiciels-gratuits</w:t>
        </w:r>
      </w:hyperlink>
      <w:r>
        <w:rPr>
          <w:rFonts w:ascii="Times New Roman" w:hAnsi="Times New Roman" w:cs="Times New Roman"/>
          <w:sz w:val="24"/>
          <w:szCs w:val="24"/>
        </w:rPr>
        <w:t xml:space="preserve"> </w:t>
      </w:r>
    </w:p>
    <w:p w:rsidR="002476C6"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NAVAMUEL, Fidel, « Voyant Tools. Analyse automatique de texte et Text Mining », </w:t>
      </w:r>
      <w:r w:rsidRPr="00486E04">
        <w:rPr>
          <w:rFonts w:ascii="Times New Roman" w:hAnsi="Times New Roman" w:cs="Times New Roman"/>
          <w:i/>
          <w:iCs/>
          <w:sz w:val="24"/>
          <w:szCs w:val="24"/>
        </w:rPr>
        <w:t>Outilstice.com</w:t>
      </w:r>
      <w:r>
        <w:rPr>
          <w:rFonts w:ascii="Times New Roman" w:hAnsi="Times New Roman" w:cs="Times New Roman"/>
          <w:sz w:val="24"/>
          <w:szCs w:val="24"/>
        </w:rPr>
        <w:t xml:space="preserve">, 10 décembre 2020, </w:t>
      </w:r>
      <w:hyperlink r:id="rId25" w:history="1">
        <w:r w:rsidRPr="007E15EA">
          <w:rPr>
            <w:rStyle w:val="Lienhypertexte"/>
            <w:rFonts w:ascii="Times New Roman" w:hAnsi="Times New Roman" w:cs="Times New Roman"/>
            <w:sz w:val="24"/>
            <w:szCs w:val="24"/>
          </w:rPr>
          <w:t>https://outilstice.com/2018/11/voyant-tools-analyse-automatique-de-texte-et-text-mining/</w:t>
        </w:r>
      </w:hyperlink>
      <w:r>
        <w:rPr>
          <w:rFonts w:ascii="Times New Roman" w:hAnsi="Times New Roman" w:cs="Times New Roman"/>
          <w:sz w:val="24"/>
          <w:szCs w:val="24"/>
        </w:rPr>
        <w:t xml:space="preserve"> </w:t>
      </w:r>
    </w:p>
    <w:p w:rsidR="002476C6"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POMMERON, Olivier, « Data Visualisation : 35 outils pour faire parler vos données », Datastory.org, 12 décembre 2020, </w:t>
      </w:r>
      <w:hyperlink r:id="rId26" w:history="1">
        <w:r w:rsidRPr="007E15EA">
          <w:rPr>
            <w:rStyle w:val="Lienhypertexte"/>
            <w:rFonts w:ascii="Times New Roman" w:hAnsi="Times New Roman" w:cs="Times New Roman"/>
            <w:sz w:val="24"/>
            <w:szCs w:val="24"/>
          </w:rPr>
          <w:t>https://datastory.fr/data-visualisation-30-outils-faire-parler-vos-donnees/</w:t>
        </w:r>
      </w:hyperlink>
      <w:r>
        <w:rPr>
          <w:rFonts w:ascii="Times New Roman" w:hAnsi="Times New Roman" w:cs="Times New Roman"/>
          <w:sz w:val="24"/>
          <w:szCs w:val="24"/>
        </w:rPr>
        <w:t xml:space="preserve"> </w:t>
      </w:r>
    </w:p>
    <w:p w:rsidR="002476C6" w:rsidRDefault="002476C6" w:rsidP="002476C6">
      <w:pPr>
        <w:contextualSpacing/>
        <w:jc w:val="both"/>
        <w:rPr>
          <w:rFonts w:ascii="Times New Roman" w:hAnsi="Times New Roman" w:cs="Times New Roman"/>
          <w:sz w:val="24"/>
          <w:szCs w:val="24"/>
        </w:rPr>
      </w:pPr>
    </w:p>
    <w:p w:rsidR="002476C6" w:rsidRDefault="002476C6" w:rsidP="002476C6">
      <w:pPr>
        <w:contextualSpacing/>
        <w:jc w:val="both"/>
        <w:rPr>
          <w:rFonts w:ascii="Times New Roman" w:hAnsi="Times New Roman" w:cs="Times New Roman"/>
          <w:sz w:val="24"/>
          <w:szCs w:val="24"/>
        </w:rPr>
      </w:pPr>
      <w:r>
        <w:rPr>
          <w:rFonts w:ascii="Times New Roman" w:hAnsi="Times New Roman" w:cs="Times New Roman"/>
          <w:sz w:val="24"/>
          <w:szCs w:val="24"/>
        </w:rPr>
        <w:t xml:space="preserve">POSNER, Miriam, « Getting started with Palladio », </w:t>
      </w:r>
      <w:r w:rsidRPr="00A73C5B">
        <w:rPr>
          <w:rFonts w:ascii="Times New Roman" w:hAnsi="Times New Roman" w:cs="Times New Roman"/>
          <w:i/>
          <w:iCs/>
          <w:sz w:val="24"/>
          <w:szCs w:val="24"/>
        </w:rPr>
        <w:t>Miriam Posner’s Blog Digital humanities, data, labor, and information</w:t>
      </w:r>
      <w:r>
        <w:rPr>
          <w:rFonts w:ascii="Times New Roman" w:hAnsi="Times New Roman" w:cs="Times New Roman"/>
          <w:sz w:val="24"/>
          <w:szCs w:val="24"/>
        </w:rPr>
        <w:t xml:space="preserve">, 10 décembre 2020, </w:t>
      </w:r>
      <w:hyperlink r:id="rId27" w:history="1">
        <w:r w:rsidRPr="007E15EA">
          <w:rPr>
            <w:rStyle w:val="Lienhypertexte"/>
            <w:rFonts w:ascii="Times New Roman" w:hAnsi="Times New Roman" w:cs="Times New Roman"/>
            <w:sz w:val="24"/>
            <w:szCs w:val="24"/>
          </w:rPr>
          <w:t>https://miriamposner.com/blog/getting-started-with-palladio/</w:t>
        </w:r>
      </w:hyperlink>
      <w:r>
        <w:rPr>
          <w:rFonts w:ascii="Times New Roman" w:hAnsi="Times New Roman" w:cs="Times New Roman"/>
          <w:sz w:val="24"/>
          <w:szCs w:val="24"/>
        </w:rPr>
        <w:t xml:space="preserve"> </w:t>
      </w:r>
    </w:p>
    <w:p w:rsidR="002476C6" w:rsidRDefault="002476C6" w:rsidP="002476C6">
      <w:pPr>
        <w:contextualSpacing/>
        <w:jc w:val="both"/>
        <w:rPr>
          <w:rFonts w:ascii="Times New Roman" w:hAnsi="Times New Roman" w:cs="Times New Roman"/>
          <w:sz w:val="24"/>
          <w:szCs w:val="24"/>
        </w:rPr>
      </w:pPr>
    </w:p>
    <w:p w:rsidR="002476C6" w:rsidRPr="002476C6" w:rsidRDefault="002476C6">
      <w:pPr>
        <w:rPr>
          <w:rFonts w:ascii="Times New Roman" w:hAnsi="Times New Roman" w:cs="Times New Roman"/>
          <w:sz w:val="24"/>
          <w:szCs w:val="24"/>
        </w:rPr>
      </w:pPr>
    </w:p>
    <w:sectPr w:rsidR="002476C6" w:rsidRPr="002476C6" w:rsidSect="002419FE">
      <w:footerReference w:type="default" r:id="rId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D6A" w:rsidRDefault="00C07D6A" w:rsidP="00736E6D">
      <w:pPr>
        <w:spacing w:after="0" w:line="240" w:lineRule="auto"/>
      </w:pPr>
      <w:r>
        <w:separator/>
      </w:r>
    </w:p>
  </w:endnote>
  <w:endnote w:type="continuationSeparator" w:id="0">
    <w:p w:rsidR="00C07D6A" w:rsidRDefault="00C07D6A" w:rsidP="00736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222610"/>
      <w:docPartObj>
        <w:docPartGallery w:val="Page Numbers (Bottom of Page)"/>
        <w:docPartUnique/>
      </w:docPartObj>
    </w:sdtPr>
    <w:sdtContent>
      <w:sdt>
        <w:sdtPr>
          <w:id w:val="123787560"/>
          <w:docPartObj>
            <w:docPartGallery w:val="Page Numbers (Top of Page)"/>
            <w:docPartUnique/>
          </w:docPartObj>
        </w:sdtPr>
        <w:sdtContent>
          <w:p w:rsidR="00A8763A" w:rsidRDefault="00A8763A">
            <w:pPr>
              <w:pStyle w:val="Pieddepage"/>
              <w:jc w:val="center"/>
            </w:pPr>
            <w:r>
              <w:t xml:space="preserve">Page </w:t>
            </w:r>
            <w:r w:rsidR="006955A1">
              <w:rPr>
                <w:b/>
                <w:sz w:val="24"/>
                <w:szCs w:val="24"/>
              </w:rPr>
              <w:fldChar w:fldCharType="begin"/>
            </w:r>
            <w:r>
              <w:rPr>
                <w:b/>
              </w:rPr>
              <w:instrText>PAGE</w:instrText>
            </w:r>
            <w:r w:rsidR="006955A1">
              <w:rPr>
                <w:b/>
                <w:sz w:val="24"/>
                <w:szCs w:val="24"/>
              </w:rPr>
              <w:fldChar w:fldCharType="separate"/>
            </w:r>
            <w:r w:rsidR="00C07D6A">
              <w:rPr>
                <w:b/>
                <w:noProof/>
              </w:rPr>
              <w:t>1</w:t>
            </w:r>
            <w:r w:rsidR="006955A1">
              <w:rPr>
                <w:b/>
                <w:sz w:val="24"/>
                <w:szCs w:val="24"/>
              </w:rPr>
              <w:fldChar w:fldCharType="end"/>
            </w:r>
            <w:r>
              <w:t xml:space="preserve"> sur </w:t>
            </w:r>
            <w:r w:rsidR="006955A1">
              <w:rPr>
                <w:b/>
                <w:sz w:val="24"/>
                <w:szCs w:val="24"/>
              </w:rPr>
              <w:fldChar w:fldCharType="begin"/>
            </w:r>
            <w:r>
              <w:rPr>
                <w:b/>
              </w:rPr>
              <w:instrText>NUMPAGES</w:instrText>
            </w:r>
            <w:r w:rsidR="006955A1">
              <w:rPr>
                <w:b/>
                <w:sz w:val="24"/>
                <w:szCs w:val="24"/>
              </w:rPr>
              <w:fldChar w:fldCharType="separate"/>
            </w:r>
            <w:r w:rsidR="00C07D6A">
              <w:rPr>
                <w:b/>
                <w:noProof/>
              </w:rPr>
              <w:t>1</w:t>
            </w:r>
            <w:r w:rsidR="006955A1">
              <w:rPr>
                <w:b/>
                <w:sz w:val="24"/>
                <w:szCs w:val="24"/>
              </w:rPr>
              <w:fldChar w:fldCharType="end"/>
            </w:r>
          </w:p>
        </w:sdtContent>
      </w:sdt>
    </w:sdtContent>
  </w:sdt>
  <w:p w:rsidR="00A8763A" w:rsidRDefault="00A8763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D6A" w:rsidRDefault="00C07D6A" w:rsidP="00736E6D">
      <w:pPr>
        <w:spacing w:after="0" w:line="240" w:lineRule="auto"/>
      </w:pPr>
      <w:r>
        <w:separator/>
      </w:r>
    </w:p>
  </w:footnote>
  <w:footnote w:type="continuationSeparator" w:id="0">
    <w:p w:rsidR="00C07D6A" w:rsidRDefault="00C07D6A" w:rsidP="00736E6D">
      <w:pPr>
        <w:spacing w:after="0" w:line="240" w:lineRule="auto"/>
      </w:pPr>
      <w:r>
        <w:continuationSeparator/>
      </w:r>
    </w:p>
  </w:footnote>
  <w:footnote w:id="1">
    <w:p w:rsidR="00736E6D" w:rsidRDefault="00736E6D" w:rsidP="00736E6D">
      <w:pPr>
        <w:pStyle w:val="Notedebasdepage"/>
      </w:pPr>
      <w:r>
        <w:rPr>
          <w:rStyle w:val="Appelnotedebasdep"/>
        </w:rPr>
        <w:footnoteRef/>
      </w:r>
      <w:r>
        <w:t xml:space="preserve"> </w:t>
      </w:r>
      <w:r w:rsidRPr="006056C3">
        <w:t xml:space="preserve">GRANDJEAN, Martin, « Introduction à la visualisation de données ; l’analyse de réseau en histoire », </w:t>
      </w:r>
      <w:r w:rsidRPr="006056C3">
        <w:rPr>
          <w:i/>
          <w:iCs/>
        </w:rPr>
        <w:t>Geschichte und Informatik</w:t>
      </w:r>
      <w:r w:rsidRPr="006056C3">
        <w:t>, 18/19, 2015, p.109-129.</w:t>
      </w:r>
    </w:p>
    <w:p w:rsidR="00736E6D" w:rsidRDefault="00736E6D">
      <w:pPr>
        <w:pStyle w:val="Notedebasdepage"/>
      </w:pPr>
    </w:p>
  </w:footnote>
  <w:footnote w:id="2">
    <w:p w:rsidR="00736E6D" w:rsidRDefault="00736E6D">
      <w:pPr>
        <w:pStyle w:val="Notedebasdepage"/>
      </w:pPr>
      <w:r>
        <w:rPr>
          <w:rStyle w:val="Appelnotedebasdep"/>
        </w:rPr>
        <w:footnoteRef/>
      </w:r>
      <w:r>
        <w:t xml:space="preserve"> </w:t>
      </w:r>
      <w:r w:rsidRPr="006056C3">
        <w:t xml:space="preserve">VIDAL, Solveig, « Visualisation de l’information : un panorama d’outils et de méthodes », </w:t>
      </w:r>
      <w:r w:rsidRPr="006056C3">
        <w:rPr>
          <w:i/>
          <w:iCs/>
        </w:rPr>
        <w:t>INIST-CNRS</w:t>
      </w:r>
      <w:r w:rsidRPr="006056C3">
        <w:t>, 2006, p.4-33.</w:t>
      </w:r>
    </w:p>
    <w:p w:rsidR="00736E6D" w:rsidRDefault="00736E6D">
      <w:pPr>
        <w:pStyle w:val="Notedebasdepage"/>
      </w:pPr>
    </w:p>
  </w:footnote>
  <w:footnote w:id="3">
    <w:p w:rsidR="00736E6D" w:rsidRDefault="00736E6D">
      <w:pPr>
        <w:pStyle w:val="Notedebasdepage"/>
      </w:pPr>
      <w:r>
        <w:rPr>
          <w:rStyle w:val="Appelnotedebasdep"/>
        </w:rPr>
        <w:footnoteRef/>
      </w:r>
      <w:r>
        <w:t xml:space="preserve"> </w:t>
      </w:r>
      <w:r w:rsidRPr="003332A2">
        <w:t xml:space="preserve">POMMERON, Olivier, « Data Visualisation : 35 outils pour faire parler vos données », Datastory.org, 12 décembre 2020, </w:t>
      </w:r>
      <w:hyperlink r:id="rId1" w:history="1">
        <w:r w:rsidRPr="003332A2">
          <w:rPr>
            <w:rStyle w:val="Lienhypertexte"/>
          </w:rPr>
          <w:t>https://datastory.fr/data-visualisation-30-outils-faire-parler-vos-donnees/</w:t>
        </w:r>
      </w:hyperlink>
    </w:p>
  </w:footnote>
  <w:footnote w:id="4">
    <w:p w:rsidR="00736E6D" w:rsidRDefault="00736E6D">
      <w:pPr>
        <w:pStyle w:val="Notedebasdepage"/>
      </w:pPr>
      <w:r>
        <w:rPr>
          <w:rStyle w:val="Appelnotedebasdep"/>
        </w:rPr>
        <w:footnoteRef/>
      </w:r>
      <w:r>
        <w:t xml:space="preserve"> </w:t>
      </w:r>
      <w:r w:rsidRPr="001B1318">
        <w:t xml:space="preserve">DESCHAMPS, Christophe, « Voyant tools, un puissant service de text mining en open source », </w:t>
      </w:r>
      <w:r w:rsidRPr="001B1318">
        <w:rPr>
          <w:i/>
          <w:iCs/>
        </w:rPr>
        <w:t>Outils froids</w:t>
      </w:r>
      <w:r w:rsidRPr="001B1318">
        <w:t xml:space="preserve">, 12 décembre 2020, </w:t>
      </w:r>
      <w:hyperlink r:id="rId2" w:history="1">
        <w:r w:rsidRPr="001B1318">
          <w:rPr>
            <w:rStyle w:val="Lienhypertexte"/>
          </w:rPr>
          <w:t>https://www.outilsfroids.net/2016/02/voyant-tools-un-puissant-service-de-text-mining-en-open-source/</w:t>
        </w:r>
      </w:hyperlink>
    </w:p>
    <w:p w:rsidR="00736E6D" w:rsidRDefault="00736E6D">
      <w:pPr>
        <w:pStyle w:val="Notedebasdepage"/>
      </w:pPr>
    </w:p>
  </w:footnote>
  <w:footnote w:id="5">
    <w:p w:rsidR="00736E6D" w:rsidRDefault="00736E6D">
      <w:pPr>
        <w:pStyle w:val="Notedebasdepage"/>
      </w:pPr>
      <w:r>
        <w:rPr>
          <w:rStyle w:val="Appelnotedebasdep"/>
        </w:rPr>
        <w:footnoteRef/>
      </w:r>
      <w:r>
        <w:t xml:space="preserve"> </w:t>
      </w:r>
      <w:r w:rsidRPr="001B1318">
        <w:t xml:space="preserve">NAVAMUEL, Fidel, « Voyant Tools. Analyse automatique de texte et Text Mining », </w:t>
      </w:r>
      <w:r w:rsidRPr="001B1318">
        <w:rPr>
          <w:i/>
          <w:iCs/>
        </w:rPr>
        <w:t>Outilstice.com</w:t>
      </w:r>
      <w:r w:rsidRPr="001B1318">
        <w:t xml:space="preserve">, 10 décembre 2020, </w:t>
      </w:r>
      <w:hyperlink r:id="rId3" w:history="1">
        <w:r w:rsidRPr="001B1318">
          <w:rPr>
            <w:rStyle w:val="Lienhypertexte"/>
          </w:rPr>
          <w:t>https://outilstice.com/2018/11/voyant-tools-analyse-automatique-de-texte-et-text-mining/</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2476C6"/>
    <w:rsid w:val="00211C8D"/>
    <w:rsid w:val="002419FE"/>
    <w:rsid w:val="002476C6"/>
    <w:rsid w:val="002728D7"/>
    <w:rsid w:val="0036505E"/>
    <w:rsid w:val="003A1CC8"/>
    <w:rsid w:val="00432EB0"/>
    <w:rsid w:val="00527D69"/>
    <w:rsid w:val="006955A1"/>
    <w:rsid w:val="00736E6D"/>
    <w:rsid w:val="007B57C1"/>
    <w:rsid w:val="008E3B51"/>
    <w:rsid w:val="00945ECF"/>
    <w:rsid w:val="00A223DF"/>
    <w:rsid w:val="00A8763A"/>
    <w:rsid w:val="00B7271D"/>
    <w:rsid w:val="00BC4A63"/>
    <w:rsid w:val="00C07D6A"/>
    <w:rsid w:val="00C36910"/>
    <w:rsid w:val="00C92536"/>
    <w:rsid w:val="00E762E0"/>
    <w:rsid w:val="00EC44EE"/>
    <w:rsid w:val="00EE1E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9F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476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476C6"/>
    <w:rPr>
      <w:color w:val="0000FF" w:themeColor="hyperlink"/>
      <w:u w:val="single"/>
    </w:rPr>
  </w:style>
  <w:style w:type="paragraph" w:styleId="Notedebasdepage">
    <w:name w:val="footnote text"/>
    <w:basedOn w:val="Normal"/>
    <w:link w:val="NotedebasdepageCar"/>
    <w:uiPriority w:val="99"/>
    <w:semiHidden/>
    <w:unhideWhenUsed/>
    <w:rsid w:val="00736E6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36E6D"/>
    <w:rPr>
      <w:sz w:val="20"/>
      <w:szCs w:val="20"/>
    </w:rPr>
  </w:style>
  <w:style w:type="character" w:styleId="Appelnotedebasdep">
    <w:name w:val="footnote reference"/>
    <w:basedOn w:val="Policepardfaut"/>
    <w:uiPriority w:val="99"/>
    <w:semiHidden/>
    <w:unhideWhenUsed/>
    <w:rsid w:val="00736E6D"/>
    <w:rPr>
      <w:vertAlign w:val="superscript"/>
    </w:rPr>
  </w:style>
  <w:style w:type="paragraph" w:styleId="Textedebulles">
    <w:name w:val="Balloon Text"/>
    <w:basedOn w:val="Normal"/>
    <w:link w:val="TextedebullesCar"/>
    <w:uiPriority w:val="99"/>
    <w:semiHidden/>
    <w:unhideWhenUsed/>
    <w:rsid w:val="00EC44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44EE"/>
    <w:rPr>
      <w:rFonts w:ascii="Tahoma" w:hAnsi="Tahoma" w:cs="Tahoma"/>
      <w:sz w:val="16"/>
      <w:szCs w:val="16"/>
    </w:rPr>
  </w:style>
  <w:style w:type="paragraph" w:styleId="En-tte">
    <w:name w:val="header"/>
    <w:basedOn w:val="Normal"/>
    <w:link w:val="En-tteCar"/>
    <w:uiPriority w:val="99"/>
    <w:semiHidden/>
    <w:unhideWhenUsed/>
    <w:rsid w:val="00A8763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8763A"/>
  </w:style>
  <w:style w:type="paragraph" w:styleId="Pieddepage">
    <w:name w:val="footer"/>
    <w:basedOn w:val="Normal"/>
    <w:link w:val="PieddepageCar"/>
    <w:uiPriority w:val="99"/>
    <w:unhideWhenUsed/>
    <w:rsid w:val="00A876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76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atastory.fr/data-visualisation-30-outils-faire-parler-vos-donnees/" TargetMode="External"/><Relationship Id="rId3" Type="http://schemas.openxmlformats.org/officeDocument/2006/relationships/settings" Target="settings.xml"/><Relationship Id="rId21" Type="http://schemas.openxmlformats.org/officeDocument/2006/relationships/hyperlink" Target="https://digitalfellows.commons.gc.cuny.edu/"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outilstice.com/2018/11/voyant-tools-analyse-automatique-de-texte-et-text-min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rshs.hypotheses.org/33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le-datascientist.fr/visualisation-des-donnees-outils-et-logiciels-gratuit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ographyrealm.com/voyant-online-text-analysis-tool/"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ricedh.github.io/02-voyan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outilsfroids.net/2016/02/voyant-tools-un-puissant-service-de-text-mining-en-open-source/" TargetMode="External"/><Relationship Id="rId27" Type="http://schemas.openxmlformats.org/officeDocument/2006/relationships/hyperlink" Target="https://miriamposner.com/blog/getting-started-with-palladio/"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outilstice.com/2018/11/voyant-tools-analyse-automatique-de-texte-et-text-mining/" TargetMode="External"/><Relationship Id="rId2" Type="http://schemas.openxmlformats.org/officeDocument/2006/relationships/hyperlink" Target="https://www.outilsfroids.net/2016/02/voyant-tools-un-puissant-service-de-text-mining-en-open-source/" TargetMode="External"/><Relationship Id="rId1" Type="http://schemas.openxmlformats.org/officeDocument/2006/relationships/hyperlink" Target="https://datastory.fr/data-visualisation-30-outils-faire-parler-vos-donne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BA3C6E-5428-424B-A17A-B244EAB8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2337</Words>
  <Characters>12859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Anaïs Isaac</dc:creator>
  <cp:lastModifiedBy>Anaïs Isaac</cp:lastModifiedBy>
  <cp:revision>15</cp:revision>
  <dcterms:created xsi:type="dcterms:W3CDTF">2020-12-20T21:13:00Z</dcterms:created>
  <dcterms:modified xsi:type="dcterms:W3CDTF">2020-12-20T22:09:00Z</dcterms:modified>
</cp:coreProperties>
</file>