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5"/>
        <w:tblW w:w="5013"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97"/>
        <w:gridCol w:w="1624"/>
        <w:gridCol w:w="1884"/>
        <w:gridCol w:w="3041"/>
        <w:gridCol w:w="2498"/>
        <w:gridCol w:w="291"/>
      </w:tblGrid>
      <w:tr w14:paraId="25DBF14B">
        <w:trPr>
          <w:jc w:val="center"/>
        </w:trPr>
        <w:tc>
          <w:tcPr>
            <w:tcW w:w="5000" w:type="pct"/>
            <w:gridSpan w:val="6"/>
            <w:tcBorders>
              <w:top w:val="single" w:color="auto" w:sz="12" w:space="0"/>
              <w:left w:val="single" w:color="auto" w:sz="12" w:space="0"/>
              <w:bottom w:val="single" w:color="auto" w:sz="8" w:space="0"/>
              <w:right w:val="single" w:color="auto" w:sz="12" w:space="0"/>
            </w:tcBorders>
            <w:vAlign w:val="center"/>
          </w:tcPr>
          <w:p w14:paraId="0F2AAC4F">
            <w:pPr>
              <w:numPr>
                <w:ilvl w:val="0"/>
                <w:numId w:val="1"/>
              </w:numPr>
              <w:rPr>
                <w:rFonts w:ascii="Arial" w:hAnsi="Arial" w:cs="Arial"/>
                <w:color w:val="FF0000"/>
                <w:sz w:val="18"/>
              </w:rPr>
            </w:pPr>
            <w:r>
              <w:rPr>
                <w:rFonts w:hint="eastAsia" w:cs="Arial" w:asciiTheme="minorEastAsia" w:hAnsiTheme="minorEastAsia" w:eastAsiaTheme="minorEastAsia"/>
                <w:sz w:val="20"/>
                <w:szCs w:val="20"/>
              </w:rPr>
              <w:t>发明人信息</w:t>
            </w:r>
            <w:r>
              <w:rPr>
                <w:rFonts w:hint="eastAsia" w:ascii="Arial" w:hAnsi="Arial" w:eastAsia="PMingLiU" w:cs="Arial"/>
                <w:color w:val="FF0000"/>
                <w:sz w:val="20"/>
                <w:szCs w:val="20"/>
                <w:lang w:eastAsia="zh-TW"/>
              </w:rPr>
              <w:t xml:space="preserve"> </w:t>
            </w:r>
            <w:r>
              <w:rPr>
                <w:rFonts w:hint="eastAsia" w:ascii="仿宋" w:hAnsi="仿宋" w:eastAsia="仿宋"/>
                <w:color w:val="FF0000"/>
                <w:szCs w:val="21"/>
              </w:rPr>
              <w:t>(如存在外籍发明人需要特别指出，每个发明人的贡献比例将等同于奖励比例)</w:t>
            </w:r>
          </w:p>
        </w:tc>
      </w:tr>
      <w:tr w14:paraId="0517A30D">
        <w:trPr>
          <w:jc w:val="center"/>
        </w:trPr>
        <w:tc>
          <w:tcPr>
            <w:tcW w:w="485" w:type="pct"/>
            <w:tcBorders>
              <w:top w:val="single" w:color="auto" w:sz="8" w:space="0"/>
              <w:left w:val="single" w:color="auto" w:sz="12" w:space="0"/>
              <w:bottom w:val="single" w:color="auto" w:sz="8" w:space="0"/>
              <w:right w:val="single" w:color="auto" w:sz="8" w:space="0"/>
            </w:tcBorders>
            <w:vAlign w:val="center"/>
          </w:tcPr>
          <w:p w14:paraId="470A4E78">
            <w:pPr>
              <w:spacing w:line="0" w:lineRule="atLeast"/>
              <w:jc w:val="center"/>
              <w:rPr>
                <w:rFonts w:ascii="Arial" w:hAnsi="Arial" w:cs="Arial"/>
                <w:sz w:val="18"/>
              </w:rPr>
            </w:pPr>
          </w:p>
        </w:tc>
        <w:tc>
          <w:tcPr>
            <w:tcW w:w="788" w:type="pct"/>
            <w:tcBorders>
              <w:top w:val="single" w:color="auto" w:sz="8" w:space="0"/>
              <w:left w:val="single" w:color="auto" w:sz="8" w:space="0"/>
              <w:bottom w:val="single" w:color="auto" w:sz="8" w:space="0"/>
              <w:right w:val="single" w:color="auto" w:sz="8" w:space="0"/>
            </w:tcBorders>
            <w:vAlign w:val="center"/>
          </w:tcPr>
          <w:p w14:paraId="1BECF2D8">
            <w:pPr>
              <w:pStyle w:val="7"/>
              <w:spacing w:line="200" w:lineRule="exact"/>
              <w:ind w:left="-130" w:leftChars="-62" w:right="-107" w:rightChars="-51"/>
              <w:jc w:val="center"/>
              <w:rPr>
                <w:rFonts w:ascii="Arial" w:hAnsi="Arial" w:eastAsia="PMingLiU" w:cs="Arial"/>
                <w:sz w:val="20"/>
                <w:lang w:eastAsia="zh-TW"/>
              </w:rPr>
            </w:pPr>
            <w:r>
              <w:rPr>
                <w:rFonts w:hint="eastAsia" w:cs="Arial" w:asciiTheme="minorEastAsia" w:hAnsiTheme="minorEastAsia" w:eastAsiaTheme="minorEastAsia"/>
                <w:sz w:val="20"/>
              </w:rPr>
              <w:t>发明人</w:t>
            </w:r>
          </w:p>
        </w:tc>
        <w:tc>
          <w:tcPr>
            <w:tcW w:w="914" w:type="pct"/>
            <w:tcBorders>
              <w:top w:val="single" w:color="auto" w:sz="8" w:space="0"/>
              <w:left w:val="single" w:color="auto" w:sz="8" w:space="0"/>
              <w:bottom w:val="single" w:color="auto" w:sz="8" w:space="0"/>
              <w:right w:val="single" w:color="auto" w:sz="8" w:space="0"/>
            </w:tcBorders>
            <w:vAlign w:val="center"/>
          </w:tcPr>
          <w:p w14:paraId="27735733">
            <w:pPr>
              <w:pStyle w:val="7"/>
              <w:spacing w:line="200" w:lineRule="exact"/>
              <w:ind w:left="-130" w:leftChars="-62" w:right="-107" w:rightChars="-51"/>
              <w:jc w:val="center"/>
              <w:rPr>
                <w:rFonts w:ascii="Arial" w:hAnsi="Arial" w:eastAsia="PMingLiU" w:cs="Arial"/>
                <w:sz w:val="16"/>
                <w:szCs w:val="16"/>
                <w:lang w:eastAsia="zh-TW"/>
              </w:rPr>
            </w:pPr>
            <w:r>
              <w:rPr>
                <w:rFonts w:hint="eastAsia" w:cs="Arial" w:asciiTheme="minorEastAsia" w:hAnsiTheme="minorEastAsia" w:eastAsiaTheme="minorEastAsia"/>
                <w:sz w:val="20"/>
              </w:rPr>
              <w:t>贡献比例</w:t>
            </w:r>
          </w:p>
        </w:tc>
        <w:tc>
          <w:tcPr>
            <w:tcW w:w="1459" w:type="pct"/>
            <w:tcBorders>
              <w:top w:val="single" w:color="auto" w:sz="8" w:space="0"/>
              <w:left w:val="single" w:color="auto" w:sz="8" w:space="0"/>
              <w:bottom w:val="single" w:color="auto" w:sz="8" w:space="0"/>
              <w:right w:val="single" w:color="auto" w:sz="8" w:space="0"/>
            </w:tcBorders>
            <w:vAlign w:val="center"/>
          </w:tcPr>
          <w:p w14:paraId="3D05EB52">
            <w:pPr>
              <w:pStyle w:val="7"/>
              <w:spacing w:line="200" w:lineRule="exact"/>
              <w:ind w:left="-130" w:leftChars="-62" w:right="-107" w:rightChars="-51"/>
              <w:jc w:val="center"/>
              <w:rPr>
                <w:rFonts w:ascii="Arial" w:hAnsi="Arial" w:cs="Arial"/>
                <w:sz w:val="20"/>
              </w:rPr>
            </w:pPr>
            <w:r>
              <w:rPr>
                <w:rFonts w:hint="eastAsia" w:cs="Arial" w:asciiTheme="minorEastAsia" w:hAnsiTheme="minorEastAsia" w:eastAsiaTheme="minorEastAsia"/>
                <w:sz w:val="20"/>
              </w:rPr>
              <w:t>联系方式(手机</w:t>
            </w:r>
            <w:r>
              <w:rPr>
                <w:rFonts w:cs="Arial" w:asciiTheme="minorEastAsia" w:hAnsiTheme="minorEastAsia" w:eastAsiaTheme="minorEastAsia"/>
                <w:sz w:val="20"/>
              </w:rPr>
              <w:t>+</w:t>
            </w:r>
            <w:r>
              <w:rPr>
                <w:rFonts w:hint="eastAsia" w:cs="Arial" w:asciiTheme="minorEastAsia" w:hAnsiTheme="minorEastAsia" w:eastAsiaTheme="minorEastAsia"/>
                <w:sz w:val="20"/>
              </w:rPr>
              <w:t>邮箱)</w:t>
            </w:r>
          </w:p>
        </w:tc>
        <w:tc>
          <w:tcPr>
            <w:tcW w:w="1354" w:type="pct"/>
            <w:gridSpan w:val="2"/>
            <w:tcBorders>
              <w:top w:val="single" w:color="auto" w:sz="8" w:space="0"/>
              <w:left w:val="single" w:color="auto" w:sz="8" w:space="0"/>
              <w:bottom w:val="single" w:color="auto" w:sz="8" w:space="0"/>
              <w:right w:val="single" w:color="auto" w:sz="12" w:space="0"/>
            </w:tcBorders>
            <w:vAlign w:val="center"/>
          </w:tcPr>
          <w:p w14:paraId="59AEAB0F">
            <w:pPr>
              <w:pStyle w:val="7"/>
              <w:spacing w:line="200" w:lineRule="exact"/>
              <w:ind w:left="-130" w:leftChars="-62" w:right="-107" w:rightChars="-51"/>
              <w:jc w:val="center"/>
              <w:rPr>
                <w:rFonts w:ascii="Arial" w:hAnsi="Arial" w:eastAsia="PMingLiU" w:cs="Arial"/>
                <w:lang w:eastAsia="zh-TW"/>
              </w:rPr>
            </w:pPr>
            <w:r>
              <w:rPr>
                <w:rFonts w:hint="eastAsia" w:cs="Arial" w:asciiTheme="minorEastAsia" w:hAnsiTheme="minorEastAsia" w:eastAsiaTheme="minorEastAsia"/>
                <w:sz w:val="20"/>
              </w:rPr>
              <w:t>部门</w:t>
            </w:r>
          </w:p>
        </w:tc>
      </w:tr>
      <w:tr w14:paraId="2E1C5035">
        <w:trPr>
          <w:jc w:val="center"/>
        </w:trPr>
        <w:tc>
          <w:tcPr>
            <w:tcW w:w="485" w:type="pct"/>
            <w:tcBorders>
              <w:top w:val="single" w:color="auto" w:sz="8" w:space="0"/>
              <w:left w:val="single" w:color="auto" w:sz="12" w:space="0"/>
              <w:bottom w:val="single" w:color="auto" w:sz="6" w:space="0"/>
              <w:right w:val="single" w:color="auto" w:sz="6" w:space="0"/>
            </w:tcBorders>
            <w:vAlign w:val="center"/>
          </w:tcPr>
          <w:p w14:paraId="546F9591">
            <w:pPr>
              <w:pStyle w:val="7"/>
              <w:spacing w:line="0" w:lineRule="atLeast"/>
              <w:ind w:left="-107" w:leftChars="-51" w:right="-113" w:rightChars="-54"/>
              <w:jc w:val="center"/>
              <w:rPr>
                <w:rFonts w:ascii="Arial" w:hAnsi="Arial" w:eastAsia="PMingLiU" w:cs="Arial"/>
                <w:b w:val="0"/>
                <w:bCs w:val="0"/>
                <w:sz w:val="18"/>
                <w:lang w:eastAsia="zh-TW"/>
              </w:rPr>
            </w:pPr>
            <w:r>
              <w:rPr>
                <w:rFonts w:hint="eastAsia" w:ascii="Arial" w:hAnsi="Arial" w:eastAsia="PMingLiU" w:cs="Arial"/>
                <w:b w:val="0"/>
                <w:bCs w:val="0"/>
                <w:sz w:val="18"/>
                <w:lang w:eastAsia="zh-TW"/>
              </w:rPr>
              <w:t>1</w:t>
            </w:r>
          </w:p>
        </w:tc>
        <w:tc>
          <w:tcPr>
            <w:tcW w:w="788" w:type="pct"/>
            <w:tcBorders>
              <w:top w:val="single" w:color="auto" w:sz="8" w:space="0"/>
              <w:left w:val="single" w:color="auto" w:sz="6" w:space="0"/>
              <w:bottom w:val="single" w:color="auto" w:sz="6" w:space="0"/>
              <w:right w:val="single" w:color="auto" w:sz="6" w:space="0"/>
            </w:tcBorders>
            <w:vAlign w:val="center"/>
          </w:tcPr>
          <w:p w14:paraId="6B3F0867">
            <w:pPr>
              <w:pStyle w:val="7"/>
              <w:ind w:left="-107" w:leftChars="-51" w:right="-113" w:rightChars="-54"/>
              <w:jc w:val="center"/>
              <w:rPr>
                <w:rFonts w:ascii="Arial" w:hAnsi="Arial" w:cs="Arial"/>
                <w:b w:val="0"/>
                <w:bCs w:val="0"/>
                <w:sz w:val="18"/>
                <w:szCs w:val="18"/>
              </w:rPr>
            </w:pPr>
            <w:r>
              <w:rPr>
                <w:rFonts w:hint="eastAsia" w:ascii="Arial" w:hAnsi="Arial" w:cs="Arial"/>
                <w:b w:val="0"/>
                <w:bCs w:val="0"/>
                <w:sz w:val="18"/>
                <w:szCs w:val="18"/>
              </w:rPr>
              <w:t>刘腾达</w:t>
            </w:r>
          </w:p>
        </w:tc>
        <w:tc>
          <w:tcPr>
            <w:tcW w:w="914" w:type="pct"/>
            <w:tcBorders>
              <w:top w:val="single" w:color="auto" w:sz="8" w:space="0"/>
              <w:left w:val="single" w:color="auto" w:sz="6" w:space="0"/>
              <w:bottom w:val="single" w:color="auto" w:sz="6" w:space="0"/>
              <w:right w:val="single" w:color="auto" w:sz="6" w:space="0"/>
            </w:tcBorders>
            <w:vAlign w:val="center"/>
          </w:tcPr>
          <w:p w14:paraId="4CFE517D">
            <w:pPr>
              <w:ind w:left="-69" w:leftChars="-33" w:right="-107" w:rightChars="-51"/>
              <w:jc w:val="center"/>
              <w:rPr>
                <w:rFonts w:eastAsia="黑体"/>
                <w:color w:val="FF0000"/>
                <w:szCs w:val="21"/>
              </w:rPr>
            </w:pPr>
            <w:r>
              <w:rPr>
                <w:rFonts w:eastAsia="黑体"/>
                <w:color w:val="FF0000"/>
                <w:szCs w:val="21"/>
              </w:rPr>
              <w:t>100%</w:t>
            </w:r>
          </w:p>
        </w:tc>
        <w:tc>
          <w:tcPr>
            <w:tcW w:w="1459" w:type="pct"/>
            <w:tcBorders>
              <w:top w:val="single" w:color="auto" w:sz="8" w:space="0"/>
              <w:left w:val="single" w:color="auto" w:sz="6" w:space="0"/>
              <w:bottom w:val="single" w:color="auto" w:sz="6" w:space="0"/>
              <w:right w:val="single" w:color="auto" w:sz="6" w:space="0"/>
            </w:tcBorders>
            <w:vAlign w:val="center"/>
          </w:tcPr>
          <w:p w14:paraId="7F20812C">
            <w:pPr>
              <w:ind w:left="-69" w:leftChars="-33" w:right="-107" w:rightChars="-51"/>
              <w:jc w:val="left"/>
              <w:rPr>
                <w:rFonts w:hint="default" w:ascii="Arial" w:hAnsi="Arial" w:eastAsia="宋体" w:cs="Arial"/>
                <w:bCs/>
                <w:sz w:val="18"/>
                <w:szCs w:val="18"/>
                <w:lang w:val="en-US" w:eastAsia="zh-CN"/>
              </w:rPr>
            </w:pPr>
            <w:r>
              <w:rPr>
                <w:rFonts w:hint="eastAsia" w:ascii="Arial" w:hAnsi="Arial" w:cs="Arial"/>
                <w:bCs/>
                <w:sz w:val="18"/>
                <w:szCs w:val="18"/>
                <w:lang w:val="en-US" w:eastAsia="zh-CN"/>
              </w:rPr>
              <w:t>15694868283+liutengda003@ke.com</w:t>
            </w:r>
          </w:p>
        </w:tc>
        <w:tc>
          <w:tcPr>
            <w:tcW w:w="1354" w:type="pct"/>
            <w:gridSpan w:val="2"/>
            <w:tcBorders>
              <w:top w:val="single" w:color="auto" w:sz="8" w:space="0"/>
              <w:left w:val="single" w:color="auto" w:sz="6" w:space="0"/>
              <w:bottom w:val="single" w:color="auto" w:sz="6" w:space="0"/>
              <w:right w:val="single" w:color="auto" w:sz="12" w:space="0"/>
            </w:tcBorders>
            <w:vAlign w:val="center"/>
          </w:tcPr>
          <w:p w14:paraId="39DE0E29">
            <w:pPr>
              <w:ind w:left="-69" w:leftChars="-33" w:right="-107" w:rightChars="-51"/>
              <w:jc w:val="left"/>
              <w:rPr>
                <w:rFonts w:hint="default" w:ascii="Arial" w:hAnsi="Arial" w:eastAsia="宋体" w:cs="Arial"/>
                <w:bCs/>
                <w:sz w:val="18"/>
                <w:szCs w:val="18"/>
                <w:lang w:val="en-US" w:eastAsia="zh-CN"/>
              </w:rPr>
            </w:pPr>
            <w:r>
              <w:rPr>
                <w:rFonts w:hint="eastAsia" w:ascii="Arial" w:hAnsi="Arial" w:cs="Arial"/>
                <w:bCs/>
                <w:sz w:val="18"/>
                <w:szCs w:val="18"/>
                <w:lang w:val="en-US" w:eastAsia="zh-CN"/>
              </w:rPr>
              <w:t>供付研发部</w:t>
            </w:r>
          </w:p>
        </w:tc>
      </w:tr>
      <w:tr w14:paraId="345AB17A">
        <w:trPr>
          <w:trHeight w:val="367" w:hRule="atLeast"/>
          <w:jc w:val="center"/>
        </w:trPr>
        <w:tc>
          <w:tcPr>
            <w:tcW w:w="485" w:type="pct"/>
            <w:tcBorders>
              <w:top w:val="single" w:color="auto" w:sz="6" w:space="0"/>
              <w:left w:val="single" w:color="auto" w:sz="12" w:space="0"/>
              <w:bottom w:val="single" w:color="auto" w:sz="6" w:space="0"/>
              <w:right w:val="single" w:color="auto" w:sz="6" w:space="0"/>
            </w:tcBorders>
            <w:vAlign w:val="center"/>
          </w:tcPr>
          <w:p w14:paraId="068C196B">
            <w:pPr>
              <w:pStyle w:val="7"/>
              <w:spacing w:line="0" w:lineRule="atLeast"/>
              <w:ind w:left="-107" w:leftChars="-51" w:right="-113" w:rightChars="-54"/>
              <w:jc w:val="center"/>
              <w:rPr>
                <w:rFonts w:ascii="Arial" w:hAnsi="Arial" w:cs="Arial"/>
                <w:b w:val="0"/>
                <w:bCs w:val="0"/>
                <w:sz w:val="18"/>
              </w:rPr>
            </w:pPr>
            <w:r>
              <w:rPr>
                <w:rFonts w:hint="eastAsia" w:ascii="Arial" w:hAnsi="Arial" w:cs="Arial"/>
                <w:b w:val="0"/>
                <w:bCs w:val="0"/>
                <w:sz w:val="18"/>
              </w:rPr>
              <w:t>2</w:t>
            </w:r>
          </w:p>
        </w:tc>
        <w:tc>
          <w:tcPr>
            <w:tcW w:w="788" w:type="pct"/>
            <w:tcBorders>
              <w:top w:val="single" w:color="auto" w:sz="6" w:space="0"/>
              <w:left w:val="single" w:color="auto" w:sz="6" w:space="0"/>
              <w:bottom w:val="single" w:color="auto" w:sz="6" w:space="0"/>
              <w:right w:val="single" w:color="auto" w:sz="6" w:space="0"/>
            </w:tcBorders>
            <w:vAlign w:val="center"/>
          </w:tcPr>
          <w:p w14:paraId="584F4026">
            <w:pPr>
              <w:pStyle w:val="7"/>
              <w:ind w:left="-130" w:leftChars="-62" w:right="-107" w:rightChars="-51"/>
              <w:jc w:val="center"/>
              <w:rPr>
                <w:rFonts w:ascii="Arial" w:hAnsi="Arial" w:cs="Arial"/>
                <w:b w:val="0"/>
                <w:bCs w:val="0"/>
                <w:sz w:val="18"/>
                <w:szCs w:val="18"/>
              </w:rPr>
            </w:pPr>
          </w:p>
        </w:tc>
        <w:tc>
          <w:tcPr>
            <w:tcW w:w="914" w:type="pct"/>
            <w:tcBorders>
              <w:top w:val="single" w:color="auto" w:sz="6" w:space="0"/>
              <w:left w:val="single" w:color="auto" w:sz="6" w:space="0"/>
              <w:bottom w:val="single" w:color="auto" w:sz="6" w:space="0"/>
              <w:right w:val="single" w:color="auto" w:sz="6" w:space="0"/>
            </w:tcBorders>
            <w:vAlign w:val="center"/>
          </w:tcPr>
          <w:p w14:paraId="230629F7">
            <w:pPr>
              <w:ind w:left="-69" w:leftChars="-33" w:right="-107" w:rightChars="-51"/>
              <w:jc w:val="center"/>
              <w:rPr>
                <w:rFonts w:ascii="Arial" w:hAnsi="Arial" w:cs="Arial"/>
                <w:bCs/>
                <w:sz w:val="18"/>
                <w:szCs w:val="18"/>
              </w:rPr>
            </w:pPr>
          </w:p>
        </w:tc>
        <w:tc>
          <w:tcPr>
            <w:tcW w:w="1459" w:type="pct"/>
            <w:tcBorders>
              <w:top w:val="single" w:color="auto" w:sz="6" w:space="0"/>
              <w:left w:val="single" w:color="auto" w:sz="6" w:space="0"/>
              <w:bottom w:val="single" w:color="auto" w:sz="6" w:space="0"/>
              <w:right w:val="single" w:color="auto" w:sz="6" w:space="0"/>
            </w:tcBorders>
            <w:vAlign w:val="center"/>
          </w:tcPr>
          <w:p w14:paraId="18BB0B25">
            <w:pPr>
              <w:ind w:left="-69" w:leftChars="-33" w:right="-107" w:rightChars="-51"/>
              <w:jc w:val="left"/>
              <w:rPr>
                <w:rFonts w:ascii="Arial" w:hAnsi="Arial" w:cs="Arial"/>
                <w:bCs/>
                <w:sz w:val="18"/>
                <w:szCs w:val="18"/>
              </w:rPr>
            </w:pPr>
          </w:p>
        </w:tc>
        <w:tc>
          <w:tcPr>
            <w:tcW w:w="1354" w:type="pct"/>
            <w:gridSpan w:val="2"/>
            <w:tcBorders>
              <w:top w:val="single" w:color="auto" w:sz="6" w:space="0"/>
              <w:left w:val="single" w:color="auto" w:sz="6" w:space="0"/>
              <w:bottom w:val="single" w:color="auto" w:sz="6" w:space="0"/>
              <w:right w:val="single" w:color="auto" w:sz="12" w:space="0"/>
            </w:tcBorders>
            <w:vAlign w:val="center"/>
          </w:tcPr>
          <w:p w14:paraId="14BF1911">
            <w:pPr>
              <w:ind w:left="-69" w:leftChars="-33" w:right="-107" w:rightChars="-51"/>
              <w:jc w:val="left"/>
              <w:rPr>
                <w:rFonts w:ascii="Arial" w:hAnsi="Arial" w:cs="Arial"/>
                <w:bCs/>
                <w:sz w:val="18"/>
                <w:szCs w:val="18"/>
              </w:rPr>
            </w:pPr>
          </w:p>
        </w:tc>
      </w:tr>
      <w:tr w14:paraId="6A8EA6E5">
        <w:trPr>
          <w:trHeight w:val="312" w:hRule="atLeast"/>
          <w:jc w:val="center"/>
        </w:trPr>
        <w:tc>
          <w:tcPr>
            <w:tcW w:w="485" w:type="pct"/>
            <w:tcBorders>
              <w:top w:val="single" w:color="auto" w:sz="6" w:space="0"/>
              <w:left w:val="single" w:color="auto" w:sz="12" w:space="0"/>
              <w:bottom w:val="single" w:color="auto" w:sz="6" w:space="0"/>
              <w:right w:val="single" w:color="auto" w:sz="6" w:space="0"/>
            </w:tcBorders>
            <w:vAlign w:val="center"/>
          </w:tcPr>
          <w:p w14:paraId="50BAFD74">
            <w:pPr>
              <w:pStyle w:val="7"/>
              <w:spacing w:line="0" w:lineRule="atLeast"/>
              <w:ind w:left="-107" w:leftChars="-51" w:right="-113" w:rightChars="-54"/>
              <w:jc w:val="center"/>
              <w:rPr>
                <w:rFonts w:ascii="Arial" w:hAnsi="Arial" w:cs="Arial"/>
                <w:b w:val="0"/>
                <w:bCs w:val="0"/>
                <w:sz w:val="18"/>
              </w:rPr>
            </w:pPr>
            <w:r>
              <w:rPr>
                <w:rFonts w:hint="eastAsia" w:ascii="Arial" w:hAnsi="Arial" w:cs="Arial"/>
                <w:b w:val="0"/>
                <w:bCs w:val="0"/>
                <w:sz w:val="18"/>
              </w:rPr>
              <w:t>3</w:t>
            </w:r>
          </w:p>
        </w:tc>
        <w:tc>
          <w:tcPr>
            <w:tcW w:w="788" w:type="pct"/>
            <w:tcBorders>
              <w:top w:val="single" w:color="auto" w:sz="6" w:space="0"/>
              <w:left w:val="single" w:color="auto" w:sz="6" w:space="0"/>
              <w:bottom w:val="single" w:color="auto" w:sz="6" w:space="0"/>
              <w:right w:val="single" w:color="auto" w:sz="6" w:space="0"/>
            </w:tcBorders>
            <w:vAlign w:val="center"/>
          </w:tcPr>
          <w:p w14:paraId="3073026A">
            <w:pPr>
              <w:pStyle w:val="7"/>
              <w:ind w:left="-130" w:leftChars="-62" w:right="-107" w:rightChars="-51"/>
              <w:jc w:val="center"/>
              <w:rPr>
                <w:rFonts w:ascii="Arial" w:hAnsi="Arial" w:cs="Arial"/>
                <w:b w:val="0"/>
                <w:bCs w:val="0"/>
                <w:sz w:val="18"/>
                <w:szCs w:val="18"/>
              </w:rPr>
            </w:pPr>
          </w:p>
        </w:tc>
        <w:tc>
          <w:tcPr>
            <w:tcW w:w="914" w:type="pct"/>
            <w:tcBorders>
              <w:top w:val="single" w:color="auto" w:sz="6" w:space="0"/>
              <w:left w:val="single" w:color="auto" w:sz="6" w:space="0"/>
              <w:bottom w:val="single" w:color="auto" w:sz="6" w:space="0"/>
              <w:right w:val="single" w:color="auto" w:sz="6" w:space="0"/>
            </w:tcBorders>
            <w:vAlign w:val="center"/>
          </w:tcPr>
          <w:p w14:paraId="0512C150">
            <w:pPr>
              <w:ind w:left="-69" w:leftChars="-33" w:right="-107" w:rightChars="-51"/>
              <w:jc w:val="center"/>
              <w:rPr>
                <w:rFonts w:ascii="Arial" w:hAnsi="Arial" w:cs="Arial"/>
                <w:bCs/>
                <w:sz w:val="18"/>
                <w:szCs w:val="18"/>
              </w:rPr>
            </w:pPr>
          </w:p>
        </w:tc>
        <w:tc>
          <w:tcPr>
            <w:tcW w:w="1459" w:type="pct"/>
            <w:tcBorders>
              <w:top w:val="single" w:color="auto" w:sz="6" w:space="0"/>
              <w:left w:val="single" w:color="auto" w:sz="6" w:space="0"/>
              <w:bottom w:val="single" w:color="auto" w:sz="6" w:space="0"/>
              <w:right w:val="single" w:color="auto" w:sz="6" w:space="0"/>
            </w:tcBorders>
            <w:vAlign w:val="center"/>
          </w:tcPr>
          <w:p w14:paraId="5BE7A203">
            <w:pPr>
              <w:ind w:left="-69" w:leftChars="-33" w:right="-107" w:rightChars="-51"/>
              <w:jc w:val="left"/>
              <w:rPr>
                <w:rFonts w:ascii="Arial" w:hAnsi="Arial" w:cs="Arial"/>
                <w:bCs/>
                <w:sz w:val="18"/>
                <w:szCs w:val="18"/>
              </w:rPr>
            </w:pPr>
          </w:p>
        </w:tc>
        <w:tc>
          <w:tcPr>
            <w:tcW w:w="1354" w:type="pct"/>
            <w:gridSpan w:val="2"/>
            <w:tcBorders>
              <w:top w:val="single" w:color="auto" w:sz="6" w:space="0"/>
              <w:left w:val="single" w:color="auto" w:sz="6" w:space="0"/>
              <w:bottom w:val="single" w:color="auto" w:sz="6" w:space="0"/>
              <w:right w:val="single" w:color="auto" w:sz="12" w:space="0"/>
            </w:tcBorders>
            <w:vAlign w:val="center"/>
          </w:tcPr>
          <w:p w14:paraId="41856E83">
            <w:pPr>
              <w:ind w:left="-69" w:leftChars="-33" w:right="-107" w:rightChars="-51"/>
              <w:jc w:val="left"/>
              <w:rPr>
                <w:rFonts w:ascii="Arial" w:hAnsi="Arial" w:cs="Arial"/>
                <w:bCs/>
                <w:sz w:val="18"/>
                <w:szCs w:val="18"/>
              </w:rPr>
            </w:pPr>
          </w:p>
        </w:tc>
      </w:tr>
      <w:tr w14:paraId="72E92F86">
        <w:trPr>
          <w:trHeight w:val="359" w:hRule="atLeast"/>
          <w:jc w:val="center"/>
        </w:trPr>
        <w:tc>
          <w:tcPr>
            <w:tcW w:w="485" w:type="pct"/>
            <w:tcBorders>
              <w:top w:val="single" w:color="auto" w:sz="6" w:space="0"/>
              <w:left w:val="single" w:color="auto" w:sz="12" w:space="0"/>
              <w:bottom w:val="single" w:color="auto" w:sz="6" w:space="0"/>
              <w:right w:val="single" w:color="auto" w:sz="6" w:space="0"/>
            </w:tcBorders>
            <w:vAlign w:val="center"/>
          </w:tcPr>
          <w:p w14:paraId="1950DF51">
            <w:pPr>
              <w:pStyle w:val="7"/>
              <w:spacing w:line="0" w:lineRule="atLeast"/>
              <w:ind w:left="-107" w:leftChars="-51" w:right="-113" w:rightChars="-54"/>
              <w:jc w:val="center"/>
              <w:rPr>
                <w:rFonts w:ascii="Arial" w:hAnsi="Arial" w:cs="Arial"/>
                <w:b w:val="0"/>
                <w:bCs w:val="0"/>
                <w:sz w:val="18"/>
              </w:rPr>
            </w:pPr>
            <w:r>
              <w:rPr>
                <w:rFonts w:hint="eastAsia" w:ascii="Arial" w:hAnsi="Arial" w:cs="Arial"/>
                <w:b w:val="0"/>
                <w:bCs w:val="0"/>
                <w:sz w:val="18"/>
              </w:rPr>
              <w:t>4</w:t>
            </w:r>
          </w:p>
        </w:tc>
        <w:tc>
          <w:tcPr>
            <w:tcW w:w="788" w:type="pct"/>
            <w:tcBorders>
              <w:top w:val="single" w:color="auto" w:sz="6" w:space="0"/>
              <w:left w:val="single" w:color="auto" w:sz="6" w:space="0"/>
              <w:bottom w:val="single" w:color="auto" w:sz="6" w:space="0"/>
              <w:right w:val="single" w:color="auto" w:sz="6" w:space="0"/>
            </w:tcBorders>
            <w:vAlign w:val="center"/>
          </w:tcPr>
          <w:p w14:paraId="07A028F2">
            <w:pPr>
              <w:pStyle w:val="7"/>
              <w:ind w:left="-130" w:leftChars="-62" w:right="-107" w:rightChars="-51"/>
              <w:jc w:val="center"/>
              <w:rPr>
                <w:rFonts w:ascii="Arial" w:hAnsi="Arial" w:cs="Arial"/>
                <w:b w:val="0"/>
                <w:bCs w:val="0"/>
                <w:sz w:val="18"/>
                <w:szCs w:val="18"/>
              </w:rPr>
            </w:pPr>
          </w:p>
        </w:tc>
        <w:tc>
          <w:tcPr>
            <w:tcW w:w="914" w:type="pct"/>
            <w:tcBorders>
              <w:top w:val="single" w:color="auto" w:sz="6" w:space="0"/>
              <w:left w:val="single" w:color="auto" w:sz="6" w:space="0"/>
              <w:bottom w:val="single" w:color="auto" w:sz="6" w:space="0"/>
              <w:right w:val="single" w:color="auto" w:sz="6" w:space="0"/>
            </w:tcBorders>
            <w:vAlign w:val="center"/>
          </w:tcPr>
          <w:p w14:paraId="59236E43">
            <w:pPr>
              <w:ind w:left="-69" w:leftChars="-33" w:right="-107" w:rightChars="-51"/>
              <w:jc w:val="center"/>
              <w:rPr>
                <w:rFonts w:ascii="Arial" w:hAnsi="Arial" w:cs="Arial"/>
                <w:bCs/>
                <w:sz w:val="18"/>
                <w:szCs w:val="18"/>
              </w:rPr>
            </w:pPr>
          </w:p>
        </w:tc>
        <w:tc>
          <w:tcPr>
            <w:tcW w:w="1459" w:type="pct"/>
            <w:tcBorders>
              <w:top w:val="single" w:color="auto" w:sz="6" w:space="0"/>
              <w:left w:val="single" w:color="auto" w:sz="6" w:space="0"/>
              <w:bottom w:val="single" w:color="auto" w:sz="6" w:space="0"/>
              <w:right w:val="single" w:color="auto" w:sz="6" w:space="0"/>
            </w:tcBorders>
            <w:vAlign w:val="center"/>
          </w:tcPr>
          <w:p w14:paraId="426849AE">
            <w:pPr>
              <w:ind w:left="-69" w:leftChars="-33" w:right="-107" w:rightChars="-51"/>
              <w:jc w:val="left"/>
              <w:rPr>
                <w:rFonts w:ascii="Arial" w:hAnsi="Arial" w:cs="Arial"/>
                <w:bCs/>
                <w:sz w:val="18"/>
                <w:szCs w:val="18"/>
              </w:rPr>
            </w:pPr>
          </w:p>
        </w:tc>
        <w:tc>
          <w:tcPr>
            <w:tcW w:w="1354" w:type="pct"/>
            <w:gridSpan w:val="2"/>
            <w:tcBorders>
              <w:top w:val="single" w:color="auto" w:sz="6" w:space="0"/>
              <w:left w:val="single" w:color="auto" w:sz="6" w:space="0"/>
              <w:bottom w:val="single" w:color="auto" w:sz="6" w:space="0"/>
              <w:right w:val="single" w:color="auto" w:sz="12" w:space="0"/>
            </w:tcBorders>
            <w:vAlign w:val="center"/>
          </w:tcPr>
          <w:p w14:paraId="468296EB">
            <w:pPr>
              <w:ind w:left="-69" w:leftChars="-33" w:right="-107" w:rightChars="-51"/>
              <w:jc w:val="left"/>
              <w:rPr>
                <w:rFonts w:ascii="Arial" w:hAnsi="Arial" w:cs="Arial"/>
                <w:bCs/>
                <w:sz w:val="18"/>
                <w:szCs w:val="18"/>
              </w:rPr>
            </w:pPr>
          </w:p>
        </w:tc>
      </w:tr>
      <w:tr w14:paraId="28ADAD1F">
        <w:trPr>
          <w:jc w:val="center"/>
        </w:trPr>
        <w:tc>
          <w:tcPr>
            <w:tcW w:w="485" w:type="pct"/>
            <w:tcBorders>
              <w:top w:val="single" w:color="auto" w:sz="6" w:space="0"/>
              <w:left w:val="single" w:color="auto" w:sz="12" w:space="0"/>
              <w:bottom w:val="single" w:color="auto" w:sz="6" w:space="0"/>
              <w:right w:val="single" w:color="auto" w:sz="6" w:space="0"/>
            </w:tcBorders>
            <w:vAlign w:val="center"/>
          </w:tcPr>
          <w:p w14:paraId="05EE62FD">
            <w:pPr>
              <w:pStyle w:val="7"/>
              <w:spacing w:line="0" w:lineRule="atLeast"/>
              <w:ind w:left="-107" w:leftChars="-51" w:right="-113" w:rightChars="-54"/>
              <w:jc w:val="center"/>
              <w:rPr>
                <w:rFonts w:ascii="Arial" w:hAnsi="Arial" w:cs="Arial"/>
                <w:b w:val="0"/>
                <w:bCs w:val="0"/>
                <w:sz w:val="18"/>
              </w:rPr>
            </w:pPr>
            <w:r>
              <w:rPr>
                <w:rFonts w:hint="eastAsia" w:ascii="Arial" w:hAnsi="Arial" w:cs="Arial"/>
                <w:b w:val="0"/>
                <w:bCs w:val="0"/>
                <w:sz w:val="18"/>
              </w:rPr>
              <w:t>5</w:t>
            </w:r>
          </w:p>
        </w:tc>
        <w:tc>
          <w:tcPr>
            <w:tcW w:w="788" w:type="pct"/>
            <w:tcBorders>
              <w:top w:val="single" w:color="auto" w:sz="6" w:space="0"/>
              <w:left w:val="single" w:color="auto" w:sz="6" w:space="0"/>
              <w:bottom w:val="single" w:color="auto" w:sz="6" w:space="0"/>
              <w:right w:val="single" w:color="auto" w:sz="6" w:space="0"/>
            </w:tcBorders>
            <w:vAlign w:val="center"/>
          </w:tcPr>
          <w:p w14:paraId="2B9F77D4">
            <w:pPr>
              <w:pStyle w:val="7"/>
              <w:ind w:left="-130" w:leftChars="-62" w:right="-107" w:rightChars="-51"/>
              <w:jc w:val="center"/>
              <w:rPr>
                <w:rFonts w:ascii="Arial" w:hAnsi="Arial" w:cs="Arial"/>
                <w:b w:val="0"/>
                <w:bCs w:val="0"/>
                <w:sz w:val="18"/>
                <w:szCs w:val="18"/>
              </w:rPr>
            </w:pPr>
          </w:p>
        </w:tc>
        <w:tc>
          <w:tcPr>
            <w:tcW w:w="914" w:type="pct"/>
            <w:tcBorders>
              <w:top w:val="single" w:color="auto" w:sz="6" w:space="0"/>
              <w:left w:val="single" w:color="auto" w:sz="6" w:space="0"/>
              <w:bottom w:val="single" w:color="auto" w:sz="6" w:space="0"/>
              <w:right w:val="single" w:color="auto" w:sz="6" w:space="0"/>
            </w:tcBorders>
            <w:vAlign w:val="center"/>
          </w:tcPr>
          <w:p w14:paraId="1EE47C60">
            <w:pPr>
              <w:ind w:left="-69" w:leftChars="-33" w:right="-107" w:rightChars="-51"/>
              <w:jc w:val="center"/>
              <w:rPr>
                <w:rFonts w:ascii="Arial" w:hAnsi="Arial" w:cs="Arial"/>
                <w:bCs/>
                <w:sz w:val="18"/>
                <w:szCs w:val="18"/>
              </w:rPr>
            </w:pPr>
          </w:p>
        </w:tc>
        <w:tc>
          <w:tcPr>
            <w:tcW w:w="1459" w:type="pct"/>
            <w:tcBorders>
              <w:top w:val="single" w:color="auto" w:sz="6" w:space="0"/>
              <w:left w:val="single" w:color="auto" w:sz="6" w:space="0"/>
              <w:bottom w:val="single" w:color="auto" w:sz="6" w:space="0"/>
              <w:right w:val="single" w:color="auto" w:sz="6" w:space="0"/>
            </w:tcBorders>
            <w:vAlign w:val="center"/>
          </w:tcPr>
          <w:p w14:paraId="530DBD7E">
            <w:pPr>
              <w:ind w:left="-69" w:leftChars="-33" w:right="-107" w:rightChars="-51"/>
              <w:jc w:val="left"/>
              <w:rPr>
                <w:rFonts w:ascii="Arial" w:hAnsi="Arial" w:cs="Arial"/>
                <w:bCs/>
                <w:sz w:val="18"/>
                <w:szCs w:val="18"/>
              </w:rPr>
            </w:pPr>
          </w:p>
        </w:tc>
        <w:tc>
          <w:tcPr>
            <w:tcW w:w="1354" w:type="pct"/>
            <w:gridSpan w:val="2"/>
            <w:tcBorders>
              <w:top w:val="single" w:color="auto" w:sz="6" w:space="0"/>
              <w:left w:val="single" w:color="auto" w:sz="6" w:space="0"/>
              <w:bottom w:val="single" w:color="auto" w:sz="6" w:space="0"/>
              <w:right w:val="single" w:color="auto" w:sz="12" w:space="0"/>
            </w:tcBorders>
            <w:vAlign w:val="center"/>
          </w:tcPr>
          <w:p w14:paraId="45563B7F">
            <w:pPr>
              <w:ind w:left="-69" w:leftChars="-33" w:right="-107" w:rightChars="-51"/>
              <w:jc w:val="left"/>
              <w:rPr>
                <w:rFonts w:ascii="Arial" w:hAnsi="Arial" w:cs="Arial"/>
                <w:bCs/>
                <w:sz w:val="18"/>
                <w:szCs w:val="18"/>
              </w:rPr>
            </w:pPr>
          </w:p>
        </w:tc>
      </w:tr>
      <w:tr w14:paraId="1FB7187A">
        <w:trPr>
          <w:trHeight w:val="312" w:hRule="atLeast"/>
          <w:jc w:val="center"/>
        </w:trPr>
        <w:tc>
          <w:tcPr>
            <w:tcW w:w="485" w:type="pct"/>
            <w:tcBorders>
              <w:top w:val="single" w:color="auto" w:sz="6" w:space="0"/>
              <w:left w:val="single" w:color="auto" w:sz="12" w:space="0"/>
              <w:bottom w:val="single" w:color="auto" w:sz="12" w:space="0"/>
              <w:right w:val="single" w:color="auto" w:sz="6" w:space="0"/>
            </w:tcBorders>
            <w:vAlign w:val="center"/>
          </w:tcPr>
          <w:p w14:paraId="1EB662E1">
            <w:pPr>
              <w:pStyle w:val="7"/>
              <w:spacing w:line="0" w:lineRule="atLeast"/>
              <w:ind w:left="-107" w:leftChars="-51" w:right="-113" w:rightChars="-54"/>
              <w:jc w:val="center"/>
              <w:rPr>
                <w:rFonts w:ascii="Arial" w:hAnsi="Arial" w:cs="Arial"/>
                <w:b w:val="0"/>
                <w:bCs w:val="0"/>
                <w:sz w:val="18"/>
              </w:rPr>
            </w:pPr>
            <w:r>
              <w:rPr>
                <w:rFonts w:ascii="Arial" w:hAnsi="Arial" w:cs="Arial"/>
                <w:b w:val="0"/>
                <w:bCs w:val="0"/>
                <w:sz w:val="18"/>
              </w:rPr>
              <w:t>6</w:t>
            </w:r>
          </w:p>
        </w:tc>
        <w:tc>
          <w:tcPr>
            <w:tcW w:w="788" w:type="pct"/>
            <w:tcBorders>
              <w:top w:val="single" w:color="auto" w:sz="6" w:space="0"/>
              <w:left w:val="single" w:color="auto" w:sz="6" w:space="0"/>
              <w:bottom w:val="single" w:color="auto" w:sz="12" w:space="0"/>
              <w:right w:val="single" w:color="auto" w:sz="6" w:space="0"/>
            </w:tcBorders>
            <w:vAlign w:val="center"/>
          </w:tcPr>
          <w:p w14:paraId="3A10BDCE">
            <w:pPr>
              <w:pStyle w:val="7"/>
              <w:ind w:left="-130" w:leftChars="-62" w:right="-107" w:rightChars="-51"/>
              <w:jc w:val="center"/>
              <w:rPr>
                <w:rFonts w:ascii="Arial" w:hAnsi="Arial" w:cs="Arial"/>
                <w:b w:val="0"/>
                <w:bCs w:val="0"/>
                <w:sz w:val="18"/>
                <w:szCs w:val="18"/>
              </w:rPr>
            </w:pPr>
          </w:p>
        </w:tc>
        <w:tc>
          <w:tcPr>
            <w:tcW w:w="914" w:type="pct"/>
            <w:tcBorders>
              <w:top w:val="single" w:color="auto" w:sz="6" w:space="0"/>
              <w:left w:val="single" w:color="auto" w:sz="6" w:space="0"/>
              <w:bottom w:val="single" w:color="auto" w:sz="12" w:space="0"/>
              <w:right w:val="single" w:color="auto" w:sz="6" w:space="0"/>
            </w:tcBorders>
            <w:vAlign w:val="center"/>
          </w:tcPr>
          <w:p w14:paraId="188401BB">
            <w:pPr>
              <w:ind w:left="-69" w:leftChars="-33" w:right="-107" w:rightChars="-51"/>
              <w:jc w:val="center"/>
              <w:rPr>
                <w:rFonts w:ascii="Arial" w:hAnsi="Arial" w:cs="Arial"/>
                <w:bCs/>
                <w:sz w:val="18"/>
                <w:szCs w:val="18"/>
              </w:rPr>
            </w:pPr>
          </w:p>
        </w:tc>
        <w:tc>
          <w:tcPr>
            <w:tcW w:w="1459" w:type="pct"/>
            <w:tcBorders>
              <w:top w:val="single" w:color="auto" w:sz="6" w:space="0"/>
              <w:left w:val="single" w:color="auto" w:sz="6" w:space="0"/>
              <w:bottom w:val="single" w:color="auto" w:sz="12" w:space="0"/>
              <w:right w:val="single" w:color="auto" w:sz="6" w:space="0"/>
            </w:tcBorders>
            <w:vAlign w:val="center"/>
          </w:tcPr>
          <w:p w14:paraId="20BDACAB">
            <w:pPr>
              <w:ind w:left="-69" w:leftChars="-33" w:right="-107" w:rightChars="-51"/>
              <w:jc w:val="left"/>
              <w:rPr>
                <w:rFonts w:ascii="Arial" w:hAnsi="Arial" w:cs="Arial"/>
                <w:bCs/>
                <w:sz w:val="18"/>
                <w:szCs w:val="18"/>
              </w:rPr>
            </w:pPr>
          </w:p>
        </w:tc>
        <w:tc>
          <w:tcPr>
            <w:tcW w:w="1354" w:type="pct"/>
            <w:gridSpan w:val="2"/>
            <w:tcBorders>
              <w:top w:val="single" w:color="auto" w:sz="6" w:space="0"/>
              <w:left w:val="single" w:color="auto" w:sz="6" w:space="0"/>
              <w:bottom w:val="single" w:color="auto" w:sz="12" w:space="0"/>
              <w:right w:val="single" w:color="auto" w:sz="12" w:space="0"/>
            </w:tcBorders>
            <w:vAlign w:val="center"/>
          </w:tcPr>
          <w:p w14:paraId="6277D74E">
            <w:pPr>
              <w:ind w:left="-69" w:leftChars="-33" w:right="-107" w:rightChars="-51"/>
              <w:jc w:val="left"/>
              <w:rPr>
                <w:rFonts w:ascii="Arial" w:hAnsi="Arial" w:cs="Arial"/>
                <w:bCs/>
                <w:sz w:val="18"/>
                <w:szCs w:val="18"/>
              </w:rPr>
            </w:pPr>
          </w:p>
        </w:tc>
      </w:tr>
      <w:tr w14:paraId="31534489">
        <w:trPr>
          <w:trHeight w:val="516" w:hRule="atLeast"/>
          <w:jc w:val="center"/>
        </w:trPr>
        <w:tc>
          <w:tcPr>
            <w:tcW w:w="2187" w:type="pct"/>
            <w:gridSpan w:val="3"/>
            <w:tcBorders>
              <w:top w:val="single" w:color="auto" w:sz="12" w:space="0"/>
              <w:left w:val="single" w:color="auto" w:sz="12" w:space="0"/>
              <w:bottom w:val="single" w:color="auto" w:sz="12" w:space="0"/>
              <w:right w:val="single" w:color="auto" w:sz="8" w:space="0"/>
            </w:tcBorders>
            <w:vAlign w:val="center"/>
          </w:tcPr>
          <w:p w14:paraId="33D4F4C4">
            <w:pPr>
              <w:numPr>
                <w:ilvl w:val="0"/>
                <w:numId w:val="1"/>
              </w:numPr>
              <w:spacing w:line="200" w:lineRule="exact"/>
              <w:rPr>
                <w:rFonts w:ascii="Arial" w:hAnsi="Arial" w:cs="Arial"/>
                <w:b/>
                <w:bCs/>
                <w:sz w:val="20"/>
                <w:szCs w:val="20"/>
              </w:rPr>
            </w:pPr>
            <w:r>
              <w:rPr>
                <w:rFonts w:hint="eastAsia" w:ascii="Arial" w:hAnsi="Arial" w:cs="Arial"/>
                <w:b/>
                <w:bCs/>
                <w:sz w:val="20"/>
                <w:szCs w:val="20"/>
              </w:rPr>
              <w:t>发明完成日期</w:t>
            </w:r>
          </w:p>
        </w:tc>
        <w:tc>
          <w:tcPr>
            <w:tcW w:w="2813" w:type="pct"/>
            <w:gridSpan w:val="3"/>
            <w:tcBorders>
              <w:top w:val="single" w:color="auto" w:sz="12" w:space="0"/>
              <w:left w:val="single" w:color="auto" w:sz="8" w:space="0"/>
              <w:bottom w:val="single" w:color="auto" w:sz="12" w:space="0"/>
              <w:right w:val="single" w:color="auto" w:sz="12" w:space="0"/>
            </w:tcBorders>
            <w:vAlign w:val="center"/>
          </w:tcPr>
          <w:p w14:paraId="6284CC1F">
            <w:pPr>
              <w:spacing w:line="0" w:lineRule="atLeast"/>
              <w:ind w:firstLine="420" w:firstLineChars="200"/>
              <w:rPr>
                <w:rFonts w:hint="default" w:eastAsia="黑体"/>
                <w:szCs w:val="21"/>
                <w:lang w:val="en-US" w:eastAsia="zh-CN"/>
              </w:rPr>
            </w:pPr>
            <w:r>
              <w:rPr>
                <w:rFonts w:hint="eastAsia" w:eastAsia="黑体"/>
                <w:szCs w:val="21"/>
              </w:rPr>
              <w:t>2026-0</w:t>
            </w:r>
            <w:r>
              <w:rPr>
                <w:rFonts w:hint="eastAsia" w:eastAsia="黑体"/>
                <w:szCs w:val="21"/>
                <w:lang w:val="en-US" w:eastAsia="zh-CN"/>
              </w:rPr>
              <w:t>8</w:t>
            </w:r>
            <w:r>
              <w:rPr>
                <w:rFonts w:hint="eastAsia" w:eastAsia="黑体"/>
                <w:szCs w:val="21"/>
              </w:rPr>
              <w:t>-</w:t>
            </w:r>
            <w:r>
              <w:rPr>
                <w:rFonts w:hint="eastAsia" w:eastAsia="黑体"/>
                <w:szCs w:val="21"/>
                <w:lang w:val="en-US" w:eastAsia="zh-CN"/>
              </w:rPr>
              <w:t>30</w:t>
            </w:r>
          </w:p>
        </w:tc>
      </w:tr>
      <w:tr w14:paraId="5666F3C2">
        <w:trPr>
          <w:trHeight w:val="506" w:hRule="atLeast"/>
          <w:jc w:val="center"/>
        </w:trPr>
        <w:tc>
          <w:tcPr>
            <w:tcW w:w="2187" w:type="pct"/>
            <w:gridSpan w:val="3"/>
            <w:tcBorders>
              <w:top w:val="single" w:color="auto" w:sz="12" w:space="0"/>
              <w:left w:val="single" w:color="auto" w:sz="12" w:space="0"/>
              <w:bottom w:val="single" w:color="auto" w:sz="12" w:space="0"/>
              <w:right w:val="single" w:color="auto" w:sz="8" w:space="0"/>
            </w:tcBorders>
            <w:vAlign w:val="center"/>
          </w:tcPr>
          <w:p w14:paraId="3E8B5EFB">
            <w:pPr>
              <w:numPr>
                <w:ilvl w:val="0"/>
                <w:numId w:val="1"/>
              </w:numPr>
              <w:spacing w:line="200" w:lineRule="exact"/>
              <w:rPr>
                <w:rFonts w:ascii="Arial" w:hAnsi="Arial" w:cs="Arial"/>
                <w:b/>
                <w:bCs/>
                <w:sz w:val="20"/>
                <w:szCs w:val="20"/>
              </w:rPr>
            </w:pPr>
            <w:r>
              <w:rPr>
                <w:rFonts w:hint="eastAsia" w:ascii="Arial" w:hAnsi="Arial" w:cs="Arial"/>
                <w:b/>
                <w:bCs/>
                <w:sz w:val="20"/>
                <w:szCs w:val="20"/>
              </w:rPr>
              <w:t>发明完成地点</w:t>
            </w:r>
          </w:p>
        </w:tc>
        <w:tc>
          <w:tcPr>
            <w:tcW w:w="2813" w:type="pct"/>
            <w:gridSpan w:val="3"/>
            <w:tcBorders>
              <w:top w:val="single" w:color="auto" w:sz="12" w:space="0"/>
              <w:left w:val="single" w:color="auto" w:sz="8" w:space="0"/>
              <w:bottom w:val="single" w:color="auto" w:sz="12" w:space="0"/>
              <w:right w:val="single" w:color="auto" w:sz="12" w:space="0"/>
            </w:tcBorders>
            <w:vAlign w:val="center"/>
          </w:tcPr>
          <w:p w14:paraId="48FE8B92">
            <w:pPr>
              <w:spacing w:line="0" w:lineRule="atLeast"/>
              <w:ind w:firstLine="420" w:firstLineChars="200"/>
              <w:rPr>
                <w:rFonts w:eastAsia="黑体"/>
                <w:szCs w:val="21"/>
              </w:rPr>
            </w:pPr>
            <w:r>
              <w:rPr>
                <w:rFonts w:hint="eastAsia" w:eastAsia="黑体"/>
                <w:szCs w:val="21"/>
              </w:rPr>
              <w:t>北京</w:t>
            </w:r>
            <w:r>
              <w:rPr>
                <w:rFonts w:hint="eastAsia" w:eastAsia="黑体"/>
                <w:szCs w:val="21"/>
                <w:lang w:val="en-US" w:eastAsia="zh-CN"/>
              </w:rPr>
              <w:t>东方电子科技大厦（八街）</w:t>
            </w:r>
          </w:p>
        </w:tc>
      </w:tr>
      <w:tr w14:paraId="08BC1102">
        <w:trPr>
          <w:trHeight w:val="492" w:hRule="atLeast"/>
          <w:jc w:val="center"/>
        </w:trPr>
        <w:tc>
          <w:tcPr>
            <w:tcW w:w="2187" w:type="pct"/>
            <w:gridSpan w:val="3"/>
            <w:tcBorders>
              <w:top w:val="single" w:color="auto" w:sz="12" w:space="0"/>
              <w:left w:val="single" w:color="auto" w:sz="12" w:space="0"/>
              <w:bottom w:val="single" w:color="auto" w:sz="12" w:space="0"/>
              <w:right w:val="single" w:color="auto" w:sz="8" w:space="0"/>
            </w:tcBorders>
            <w:vAlign w:val="center"/>
          </w:tcPr>
          <w:p w14:paraId="5C9B62B4">
            <w:pPr>
              <w:numPr>
                <w:ilvl w:val="0"/>
                <w:numId w:val="1"/>
              </w:numPr>
              <w:spacing w:line="200" w:lineRule="exact"/>
              <w:rPr>
                <w:rFonts w:ascii="Arial" w:hAnsi="Arial" w:cs="Arial"/>
                <w:b/>
                <w:bCs/>
                <w:sz w:val="20"/>
                <w:szCs w:val="20"/>
              </w:rPr>
            </w:pPr>
            <w:r>
              <w:rPr>
                <w:rFonts w:hint="eastAsia" w:ascii="Arial" w:hAnsi="Arial" w:cs="Arial"/>
                <w:b/>
                <w:bCs/>
                <w:sz w:val="20"/>
                <w:szCs w:val="20"/>
              </w:rPr>
              <w:t>第一发明人身份证号码</w:t>
            </w:r>
            <w:r>
              <w:rPr>
                <w:rFonts w:ascii="Arial" w:hAnsi="Arial" w:eastAsia="PMingLiU" w:cs="Arial"/>
                <w:sz w:val="16"/>
                <w:szCs w:val="16"/>
                <w:lang w:eastAsia="zh-TW"/>
              </w:rPr>
              <w:t xml:space="preserve"> </w:t>
            </w:r>
          </w:p>
        </w:tc>
        <w:tc>
          <w:tcPr>
            <w:tcW w:w="2813" w:type="pct"/>
            <w:gridSpan w:val="3"/>
            <w:tcBorders>
              <w:top w:val="single" w:color="auto" w:sz="12" w:space="0"/>
              <w:left w:val="single" w:color="auto" w:sz="8" w:space="0"/>
              <w:bottom w:val="single" w:color="auto" w:sz="12" w:space="0"/>
              <w:right w:val="single" w:color="auto" w:sz="12" w:space="0"/>
            </w:tcBorders>
            <w:vAlign w:val="center"/>
          </w:tcPr>
          <w:p w14:paraId="1ADDA8D2">
            <w:pPr>
              <w:spacing w:line="0" w:lineRule="atLeast"/>
              <w:ind w:firstLine="420" w:firstLineChars="200"/>
              <w:rPr>
                <w:rFonts w:hint="default" w:ascii="仿宋" w:hAnsi="仿宋" w:eastAsia="仿宋"/>
                <w:szCs w:val="21"/>
                <w:lang w:val="en-US" w:eastAsia="zh-CN"/>
              </w:rPr>
            </w:pPr>
            <w:r>
              <w:rPr>
                <w:rFonts w:hint="eastAsia" w:ascii="仿宋" w:hAnsi="仿宋" w:eastAsia="仿宋"/>
                <w:szCs w:val="21"/>
                <w:lang w:val="en-US" w:eastAsia="zh-CN"/>
              </w:rPr>
              <w:t>13018320010708127X</w:t>
            </w:r>
          </w:p>
        </w:tc>
      </w:tr>
      <w:tr w14:paraId="078F492F">
        <w:trPr>
          <w:trHeight w:val="926" w:hRule="atLeast"/>
          <w:jc w:val="center"/>
        </w:trPr>
        <w:tc>
          <w:tcPr>
            <w:tcW w:w="2187" w:type="pct"/>
            <w:gridSpan w:val="3"/>
            <w:tcBorders>
              <w:top w:val="single" w:color="auto" w:sz="12" w:space="0"/>
              <w:left w:val="single" w:color="auto" w:sz="12" w:space="0"/>
              <w:bottom w:val="single" w:color="auto" w:sz="12" w:space="0"/>
              <w:right w:val="single" w:color="auto" w:sz="8" w:space="0"/>
            </w:tcBorders>
            <w:vAlign w:val="center"/>
          </w:tcPr>
          <w:p w14:paraId="240BA0A9">
            <w:pPr>
              <w:pStyle w:val="25"/>
              <w:numPr>
                <w:ilvl w:val="0"/>
                <w:numId w:val="1"/>
              </w:numPr>
              <w:spacing w:line="0" w:lineRule="atLeast"/>
              <w:ind w:firstLineChars="0"/>
              <w:rPr>
                <w:rFonts w:ascii="Arial" w:hAnsi="Arial" w:cs="Arial"/>
                <w:b/>
                <w:bCs/>
                <w:sz w:val="20"/>
                <w:szCs w:val="20"/>
              </w:rPr>
            </w:pPr>
            <w:r>
              <w:rPr>
                <w:rFonts w:hint="eastAsia" w:cs="Arial" w:asciiTheme="majorEastAsia" w:hAnsiTheme="majorEastAsia" w:eastAsiaTheme="majorEastAsia"/>
                <w:b/>
                <w:sz w:val="20"/>
                <w:szCs w:val="20"/>
                <w:lang w:eastAsia="zh-TW"/>
              </w:rPr>
              <w:t>技术支持人 姓名、电话及邮箱</w:t>
            </w:r>
          </w:p>
        </w:tc>
        <w:tc>
          <w:tcPr>
            <w:tcW w:w="2813" w:type="pct"/>
            <w:gridSpan w:val="3"/>
            <w:tcBorders>
              <w:top w:val="single" w:color="auto" w:sz="12" w:space="0"/>
              <w:left w:val="single" w:color="auto" w:sz="8" w:space="0"/>
              <w:bottom w:val="single" w:color="auto" w:sz="12" w:space="0"/>
              <w:right w:val="single" w:color="auto" w:sz="12" w:space="0"/>
            </w:tcBorders>
            <w:vAlign w:val="center"/>
          </w:tcPr>
          <w:p w14:paraId="52EDF702">
            <w:pPr>
              <w:spacing w:line="0" w:lineRule="atLeast"/>
              <w:rPr>
                <w:rFonts w:eastAsia="黑体"/>
                <w:color w:val="000000"/>
                <w:szCs w:val="21"/>
              </w:rPr>
            </w:pPr>
            <w:r>
              <w:rPr>
                <w:rFonts w:hint="eastAsia" w:eastAsia="黑体"/>
                <w:color w:val="000000"/>
                <w:szCs w:val="21"/>
              </w:rPr>
              <w:t>无</w:t>
            </w:r>
          </w:p>
        </w:tc>
      </w:tr>
      <w:tr w14:paraId="239EE283">
        <w:trPr>
          <w:trHeight w:val="377" w:hRule="atLeast"/>
          <w:jc w:val="center"/>
        </w:trPr>
        <w:tc>
          <w:tcPr>
            <w:tcW w:w="5000" w:type="pct"/>
            <w:gridSpan w:val="6"/>
            <w:tcBorders>
              <w:top w:val="single" w:color="auto" w:sz="12" w:space="0"/>
              <w:left w:val="single" w:color="auto" w:sz="12" w:space="0"/>
              <w:bottom w:val="dashSmallGap" w:color="auto" w:sz="4" w:space="0"/>
              <w:right w:val="single" w:color="auto" w:sz="12" w:space="0"/>
            </w:tcBorders>
            <w:vAlign w:val="center"/>
          </w:tcPr>
          <w:p w14:paraId="1F448BCA">
            <w:pPr>
              <w:numPr>
                <w:ilvl w:val="0"/>
                <w:numId w:val="1"/>
              </w:numPr>
              <w:rPr>
                <w:rFonts w:ascii="Arial" w:hAnsi="Arial" w:eastAsia="PMingLiU" w:cs="Arial"/>
                <w:b/>
                <w:sz w:val="16"/>
                <w:szCs w:val="16"/>
                <w:lang w:eastAsia="zh-TW"/>
              </w:rPr>
            </w:pPr>
            <w:r>
              <w:rPr>
                <w:rFonts w:hint="eastAsia" w:cs="Arial" w:asciiTheme="minorEastAsia" w:hAnsiTheme="minorEastAsia" w:eastAsiaTheme="minorEastAsia"/>
                <w:b/>
                <w:sz w:val="20"/>
                <w:szCs w:val="20"/>
              </w:rPr>
              <w:t>方案名称</w:t>
            </w:r>
            <w:r>
              <w:rPr>
                <w:rFonts w:hint="eastAsia" w:ascii="Arial" w:hAnsi="Arial" w:eastAsia="PMingLiU" w:cs="Arial"/>
                <w:b/>
                <w:sz w:val="20"/>
                <w:szCs w:val="20"/>
                <w:lang w:eastAsia="zh-TW"/>
              </w:rPr>
              <w:t xml:space="preserve"> </w:t>
            </w:r>
          </w:p>
        </w:tc>
      </w:tr>
      <w:tr w14:paraId="2D90219E">
        <w:trPr>
          <w:trHeight w:val="869" w:hRule="atLeast"/>
          <w:jc w:val="center"/>
        </w:trPr>
        <w:tc>
          <w:tcPr>
            <w:tcW w:w="5000" w:type="pct"/>
            <w:gridSpan w:val="6"/>
            <w:tcBorders>
              <w:top w:val="dashSmallGap" w:color="auto" w:sz="4" w:space="0"/>
              <w:left w:val="single" w:color="auto" w:sz="12" w:space="0"/>
              <w:right w:val="single" w:color="auto" w:sz="12" w:space="0"/>
            </w:tcBorders>
            <w:vAlign w:val="center"/>
          </w:tcPr>
          <w:p w14:paraId="6D5630A6">
            <w:pPr>
              <w:spacing w:line="0" w:lineRule="atLeast"/>
              <w:rPr>
                <w:rFonts w:eastAsia="PMingLiU"/>
                <w:b/>
                <w:szCs w:val="21"/>
                <w:lang w:eastAsia="zh-TW"/>
              </w:rPr>
            </w:pPr>
            <w:r>
              <w:rPr>
                <w:rFonts w:hint="eastAsia" w:eastAsia="PMingLiU"/>
                <w:b/>
                <w:szCs w:val="21"/>
                <w:lang w:eastAsia="zh-TW"/>
              </w:rPr>
              <w:t>一种基于图像识别结果的工地任务通知方法</w:t>
            </w:r>
          </w:p>
        </w:tc>
      </w:tr>
      <w:tr w14:paraId="5FAAEAFB">
        <w:trPr>
          <w:trHeight w:val="442" w:hRule="atLeast"/>
          <w:jc w:val="center"/>
        </w:trPr>
        <w:tc>
          <w:tcPr>
            <w:tcW w:w="5000" w:type="pct"/>
            <w:gridSpan w:val="6"/>
            <w:tcBorders>
              <w:top w:val="dashSmallGap" w:color="auto" w:sz="4" w:space="0"/>
              <w:left w:val="single" w:color="auto" w:sz="12" w:space="0"/>
              <w:right w:val="single" w:color="auto" w:sz="12" w:space="0"/>
            </w:tcBorders>
            <w:vAlign w:val="center"/>
          </w:tcPr>
          <w:p w14:paraId="19106900">
            <w:pPr>
              <w:numPr>
                <w:ilvl w:val="0"/>
                <w:numId w:val="1"/>
              </w:numPr>
              <w:rPr>
                <w:rFonts w:eastAsiaTheme="minorEastAsia"/>
                <w:b/>
                <w:szCs w:val="21"/>
              </w:rPr>
            </w:pPr>
            <w:r>
              <w:rPr>
                <w:rFonts w:hint="eastAsia" w:cs="Arial" w:asciiTheme="minorEastAsia" w:hAnsiTheme="minorEastAsia" w:eastAsiaTheme="minorEastAsia"/>
                <w:b/>
                <w:sz w:val="20"/>
                <w:szCs w:val="20"/>
              </w:rPr>
              <w:t>是否为在研的研发项目，项目名称为？预计上线时间？</w:t>
            </w:r>
          </w:p>
        </w:tc>
      </w:tr>
      <w:tr w14:paraId="758A9D64">
        <w:trPr>
          <w:trHeight w:val="869" w:hRule="atLeast"/>
          <w:jc w:val="center"/>
        </w:trPr>
        <w:tc>
          <w:tcPr>
            <w:tcW w:w="5000" w:type="pct"/>
            <w:gridSpan w:val="6"/>
            <w:tcBorders>
              <w:top w:val="dashSmallGap" w:color="auto" w:sz="4" w:space="0"/>
              <w:left w:val="single" w:color="auto" w:sz="12" w:space="0"/>
              <w:right w:val="single" w:color="auto" w:sz="12" w:space="0"/>
            </w:tcBorders>
            <w:vAlign w:val="center"/>
          </w:tcPr>
          <w:p w14:paraId="3C728401">
            <w:pPr>
              <w:pStyle w:val="25"/>
              <w:spacing w:line="0" w:lineRule="atLeast"/>
              <w:ind w:left="360" w:firstLine="0" w:firstLineChars="0"/>
              <w:rPr>
                <w:rFonts w:eastAsiaTheme="minorEastAsia"/>
                <w:b/>
                <w:szCs w:val="21"/>
              </w:rPr>
            </w:pPr>
            <w:r>
              <w:rPr>
                <w:rFonts w:hint="eastAsia" w:eastAsiaTheme="minorEastAsia"/>
                <w:b/>
                <w:szCs w:val="21"/>
              </w:rPr>
              <w:t>是。在研项目「通知复尺自动化」，已完成开发并于2026年</w:t>
            </w:r>
            <w:r>
              <w:rPr>
                <w:rFonts w:hint="eastAsia" w:eastAsiaTheme="minorEastAsia"/>
                <w:b/>
                <w:szCs w:val="21"/>
                <w:lang w:val="en-US" w:eastAsia="zh-CN"/>
              </w:rPr>
              <w:t>8</w:t>
            </w:r>
            <w:r>
              <w:rPr>
                <w:rFonts w:hint="eastAsia" w:eastAsiaTheme="minorEastAsia"/>
                <w:b/>
                <w:szCs w:val="21"/>
              </w:rPr>
              <w:t>月</w:t>
            </w:r>
            <w:r>
              <w:rPr>
                <w:rFonts w:hint="eastAsia" w:eastAsiaTheme="minorEastAsia"/>
                <w:b/>
                <w:szCs w:val="21"/>
                <w:lang w:val="en-US" w:eastAsia="zh-CN"/>
              </w:rPr>
              <w:t>30日</w:t>
            </w:r>
            <w:r>
              <w:rPr>
                <w:rFonts w:hint="eastAsia" w:eastAsiaTheme="minorEastAsia"/>
                <w:b/>
                <w:szCs w:val="21"/>
              </w:rPr>
              <w:t>上线当前处于线上数据观察阶段。</w:t>
            </w:r>
          </w:p>
        </w:tc>
      </w:tr>
      <w:tr w14:paraId="60343BEA">
        <w:trPr>
          <w:trHeight w:val="673" w:hRule="atLeast"/>
          <w:jc w:val="center"/>
        </w:trPr>
        <w:tc>
          <w:tcPr>
            <w:tcW w:w="5000" w:type="pct"/>
            <w:gridSpan w:val="6"/>
            <w:tcBorders>
              <w:top w:val="dashSmallGap" w:color="auto" w:sz="4" w:space="0"/>
              <w:left w:val="single" w:color="auto" w:sz="12" w:space="0"/>
              <w:right w:val="single" w:color="auto" w:sz="12" w:space="0"/>
            </w:tcBorders>
            <w:vAlign w:val="center"/>
          </w:tcPr>
          <w:p w14:paraId="7F9B02F9">
            <w:pPr>
              <w:numPr>
                <w:ilvl w:val="0"/>
                <w:numId w:val="1"/>
              </w:numPr>
              <w:rPr>
                <w:rFonts w:eastAsiaTheme="minorEastAsia"/>
                <w:b/>
                <w:szCs w:val="21"/>
              </w:rPr>
            </w:pPr>
            <w:r>
              <w:rPr>
                <w:rFonts w:hint="eastAsia" w:cs="Arial" w:asciiTheme="minorEastAsia" w:hAnsiTheme="minorEastAsia" w:eastAsiaTheme="minorEastAsia"/>
                <w:b/>
                <w:sz w:val="20"/>
                <w:szCs w:val="20"/>
              </w:rPr>
              <w:t>之前是否递交过跟该项目相关的技术交底书，或者与该技术交底书相关联的其他交底书（例如某一技术交底书的方案更新版）？技术交底书名称是？</w:t>
            </w:r>
          </w:p>
        </w:tc>
      </w:tr>
      <w:tr w14:paraId="0B99109E">
        <w:trPr>
          <w:trHeight w:val="869" w:hRule="atLeast"/>
          <w:jc w:val="center"/>
        </w:trPr>
        <w:tc>
          <w:tcPr>
            <w:tcW w:w="5000" w:type="pct"/>
            <w:gridSpan w:val="6"/>
            <w:tcBorders>
              <w:top w:val="dashSmallGap" w:color="auto" w:sz="4" w:space="0"/>
              <w:left w:val="single" w:color="auto" w:sz="12" w:space="0"/>
              <w:right w:val="single" w:color="auto" w:sz="12" w:space="0"/>
            </w:tcBorders>
            <w:vAlign w:val="center"/>
          </w:tcPr>
          <w:p w14:paraId="306384E3">
            <w:pPr>
              <w:pStyle w:val="25"/>
              <w:spacing w:line="0" w:lineRule="atLeast"/>
              <w:ind w:left="360" w:firstLine="0" w:firstLineChars="0"/>
              <w:rPr>
                <w:rFonts w:eastAsiaTheme="minorEastAsia"/>
                <w:b/>
                <w:szCs w:val="21"/>
              </w:rPr>
            </w:pPr>
            <w:r>
              <w:rPr>
                <w:rFonts w:hint="eastAsia" w:eastAsiaTheme="minorEastAsia"/>
                <w:b/>
                <w:szCs w:val="21"/>
              </w:rPr>
              <w:t>无。本交底书为该方案首次递交，无关联历史交底书。</w:t>
            </w:r>
          </w:p>
        </w:tc>
      </w:tr>
      <w:tr w14:paraId="5B8299FC">
        <w:trPr>
          <w:trHeight w:val="436" w:hRule="atLeast"/>
          <w:jc w:val="center"/>
        </w:trPr>
        <w:tc>
          <w:tcPr>
            <w:tcW w:w="5000" w:type="pct"/>
            <w:gridSpan w:val="6"/>
            <w:tcBorders>
              <w:top w:val="dashSmallGap" w:color="auto" w:sz="4" w:space="0"/>
              <w:left w:val="single" w:color="auto" w:sz="12" w:space="0"/>
              <w:right w:val="single" w:color="auto" w:sz="12" w:space="0"/>
            </w:tcBorders>
            <w:vAlign w:val="center"/>
          </w:tcPr>
          <w:p w14:paraId="3D50C119">
            <w:pPr>
              <w:numPr>
                <w:ilvl w:val="0"/>
                <w:numId w:val="1"/>
              </w:numPr>
              <w:rPr>
                <w:rFonts w:eastAsia="黑体"/>
                <w:color w:val="FF0000"/>
                <w:szCs w:val="21"/>
              </w:rPr>
            </w:pPr>
            <w:r>
              <w:rPr>
                <w:rFonts w:hint="eastAsia" w:cs="Arial" w:asciiTheme="minorEastAsia" w:hAnsiTheme="minorEastAsia" w:eastAsiaTheme="minorEastAsia"/>
                <w:b/>
                <w:sz w:val="20"/>
                <w:szCs w:val="20"/>
              </w:rPr>
              <w:t>背景技术(必填项)</w:t>
            </w:r>
          </w:p>
        </w:tc>
      </w:tr>
      <w:tr w14:paraId="44891311">
        <w:trPr>
          <w:trHeight w:val="4120" w:hRule="atLeast"/>
          <w:jc w:val="center"/>
        </w:trPr>
        <w:tc>
          <w:tcPr>
            <w:tcW w:w="5000" w:type="pct"/>
            <w:gridSpan w:val="6"/>
            <w:tcBorders>
              <w:top w:val="dashSmallGap" w:color="auto" w:sz="4" w:space="0"/>
              <w:left w:val="single" w:color="auto" w:sz="12" w:space="0"/>
              <w:right w:val="single" w:color="auto" w:sz="12" w:space="0"/>
            </w:tcBorders>
          </w:tcPr>
          <w:p w14:paraId="5E56856B">
            <w:pPr>
              <w:rPr>
                <w:rFonts w:hint="eastAsia" w:ascii="仿宋" w:hAnsi="仿宋" w:eastAsia="仿宋"/>
                <w:color w:val="000000" w:themeColor="text1"/>
                <w:szCs w:val="21"/>
                <w14:textFill>
                  <w14:solidFill>
                    <w14:schemeClr w14:val="tx1"/>
                  </w14:solidFill>
                </w14:textFill>
              </w:rPr>
            </w:pPr>
            <w:r>
              <w:rPr>
                <w:rFonts w:hint="eastAsia" w:ascii="仿宋" w:hAnsi="仿宋" w:eastAsia="仿宋"/>
                <w:color w:val="000000" w:themeColor="text1"/>
                <w:szCs w:val="21"/>
                <w14:textFill>
                  <w14:solidFill>
                    <w14:schemeClr w14:val="tx1"/>
                  </w14:solidFill>
                </w14:textFill>
              </w:rPr>
              <w:t>请用简洁的语言说明该发明所属的技术领域或者直接应用的技术领域；详细介绍一下与本发明专利申请要求保护的主题相关的现有技术的现状、工作原理、工作方式如何？客观地指出现有技术的缺点和不足，解释一下原因。</w:t>
            </w:r>
          </w:p>
          <w:p w14:paraId="041C5330">
            <w:pPr>
              <w:rPr>
                <w:rFonts w:hint="eastAsia" w:ascii="仿宋" w:hAnsi="仿宋" w:eastAsia="仿宋"/>
                <w:color w:val="000000" w:themeColor="text1"/>
                <w:szCs w:val="21"/>
                <w14:textFill>
                  <w14:solidFill>
                    <w14:schemeClr w14:val="tx1"/>
                  </w14:solidFill>
                </w14:textFill>
              </w:rPr>
            </w:pPr>
          </w:p>
          <w:p w14:paraId="0D317ABD">
            <w:pPr>
              <w:rPr>
                <w:rFonts w:hint="eastAsia" w:ascii="仿宋" w:hAnsi="仿宋" w:eastAsia="仿宋"/>
                <w:color w:val="000000" w:themeColor="text1"/>
                <w:szCs w:val="21"/>
                <w14:textFill>
                  <w14:solidFill>
                    <w14:schemeClr w14:val="tx1"/>
                  </w14:solidFill>
                </w14:textFill>
              </w:rPr>
            </w:pPr>
            <w:r>
              <w:rPr>
                <w:rFonts w:hint="eastAsia" w:ascii="仿宋" w:hAnsi="仿宋" w:eastAsia="仿宋"/>
                <w:color w:val="000000" w:themeColor="text1"/>
                <w:szCs w:val="21"/>
                <w14:textFill>
                  <w14:solidFill>
                    <w14:schemeClr w14:val="tx1"/>
                  </w14:solidFill>
                </w14:textFill>
              </w:rPr>
              <w:t>【填写内容】</w:t>
            </w:r>
          </w:p>
          <w:p w14:paraId="4E8F19E7">
            <w:pPr>
              <w:rPr>
                <w:rFonts w:hint="eastAsia" w:ascii="仿宋" w:hAnsi="仿宋" w:eastAsia="仿宋"/>
                <w:color w:val="000000" w:themeColor="text1"/>
                <w:szCs w:val="21"/>
                <w14:textFill>
                  <w14:solidFill>
                    <w14:schemeClr w14:val="tx1"/>
                  </w14:solidFill>
                </w14:textFill>
              </w:rPr>
            </w:pPr>
          </w:p>
          <w:p w14:paraId="703C7C0F">
            <w:pPr>
              <w:rPr>
                <w:rFonts w:hint="eastAsia" w:ascii="仿宋" w:hAnsi="仿宋" w:eastAsia="仿宋"/>
                <w:color w:val="000000" w:themeColor="text1"/>
                <w:szCs w:val="21"/>
                <w14:textFill>
                  <w14:solidFill>
                    <w14:schemeClr w14:val="tx1"/>
                  </w14:solidFill>
                </w14:textFill>
              </w:rPr>
            </w:pPr>
            <w:r>
              <w:rPr>
                <w:rFonts w:hint="eastAsia" w:ascii="仿宋" w:hAnsi="仿宋" w:eastAsia="仿宋"/>
                <w:color w:val="000000" w:themeColor="text1"/>
                <w:szCs w:val="21"/>
                <w14:textFill>
                  <w14:solidFill>
                    <w14:schemeClr w14:val="tx1"/>
                  </w14:solidFill>
                </w14:textFill>
              </w:rPr>
              <w:t>一、技术领域：本发明涉及任务调度与数据处理技术领域，具体涉及一种基于图像识别结果的工地任务通知方法、系统及计算机可读存储介质。</w:t>
            </w:r>
          </w:p>
          <w:p w14:paraId="7CAD9E3C">
            <w:pPr>
              <w:rPr>
                <w:rFonts w:hint="eastAsia" w:ascii="仿宋" w:hAnsi="仿宋" w:eastAsia="仿宋"/>
                <w:color w:val="000000" w:themeColor="text1"/>
                <w:szCs w:val="21"/>
                <w14:textFill>
                  <w14:solidFill>
                    <w14:schemeClr w14:val="tx1"/>
                  </w14:solidFill>
                </w14:textFill>
              </w:rPr>
            </w:pPr>
          </w:p>
          <w:p w14:paraId="2DD1539F">
            <w:pPr>
              <w:rPr>
                <w:rFonts w:hint="eastAsia" w:ascii="仿宋" w:hAnsi="仿宋" w:eastAsia="仿宋"/>
                <w:color w:val="000000" w:themeColor="text1"/>
                <w:szCs w:val="21"/>
                <w14:textFill>
                  <w14:solidFill>
                    <w14:schemeClr w14:val="tx1"/>
                  </w14:solidFill>
                </w14:textFill>
              </w:rPr>
            </w:pPr>
            <w:r>
              <w:rPr>
                <w:rFonts w:hint="eastAsia" w:ascii="仿宋" w:hAnsi="仿宋" w:eastAsia="仿宋"/>
                <w:color w:val="000000" w:themeColor="text1"/>
                <w:szCs w:val="21"/>
                <w14:textFill>
                  <w14:solidFill>
                    <w14:schemeClr w14:val="tx1"/>
                  </w14:solidFill>
                </w14:textFill>
              </w:rPr>
              <w:t>二、现有技术现状与工作方式：在工程交付场景中，材料履约任务由若干有序的任务节点构成，其中包含通知类任务——例如当工地现场的前置工序达到可上门服务条件时，需向供应商或服务人员发出上门通知。现有技术中，上述过程由现场负责人员人工完成：人工到场查看交界面状态，凭经验判断是否满足通知条件，再在任务处理界面中逐条填写期望上门时间、上传现场照片并提交。</w:t>
            </w:r>
          </w:p>
          <w:p w14:paraId="7DF245D2">
            <w:pPr>
              <w:rPr>
                <w:rFonts w:hint="eastAsia" w:ascii="仿宋" w:hAnsi="仿宋" w:eastAsia="仿宋"/>
                <w:color w:val="000000" w:themeColor="text1"/>
                <w:szCs w:val="21"/>
                <w14:textFill>
                  <w14:solidFill>
                    <w14:schemeClr w14:val="tx1"/>
                  </w14:solidFill>
                </w14:textFill>
              </w:rPr>
            </w:pPr>
          </w:p>
          <w:p w14:paraId="53E953C0">
            <w:pPr>
              <w:rPr>
                <w:rFonts w:hint="eastAsia" w:ascii="仿宋" w:hAnsi="仿宋" w:eastAsia="仿宋"/>
                <w:color w:val="000000" w:themeColor="text1"/>
                <w:szCs w:val="21"/>
                <w14:textFill>
                  <w14:solidFill>
                    <w14:schemeClr w14:val="tx1"/>
                  </w14:solidFill>
                </w14:textFill>
              </w:rPr>
            </w:pPr>
            <w:r>
              <w:rPr>
                <w:rFonts w:hint="eastAsia" w:ascii="仿宋" w:hAnsi="仿宋" w:eastAsia="仿宋"/>
                <w:color w:val="000000" w:themeColor="text1"/>
                <w:szCs w:val="21"/>
                <w14:textFill>
                  <w14:solidFill>
                    <w14:schemeClr w14:val="tx1"/>
                  </w14:solidFill>
                </w14:textFill>
              </w:rPr>
              <w:t>另一方面，对工地摄像头视频与现场照片进行自动分析（例如判断工序是否完成、现场是否具备下一步作业条件）的图像识别技术已经存在，但其现有用途集中于施工进度留证、安全巡检等场景。</w:t>
            </w:r>
          </w:p>
          <w:p w14:paraId="2E50DDBD">
            <w:pPr>
              <w:rPr>
                <w:rFonts w:hint="eastAsia" w:ascii="仿宋" w:hAnsi="仿宋" w:eastAsia="仿宋"/>
                <w:color w:val="000000" w:themeColor="text1"/>
                <w:szCs w:val="21"/>
                <w14:textFill>
                  <w14:solidFill>
                    <w14:schemeClr w14:val="tx1"/>
                  </w14:solidFill>
                </w14:textFill>
              </w:rPr>
            </w:pPr>
          </w:p>
          <w:p w14:paraId="797D93F0">
            <w:pPr>
              <w:rPr>
                <w:rFonts w:hint="eastAsia" w:ascii="仿宋" w:hAnsi="仿宋" w:eastAsia="仿宋"/>
                <w:color w:val="000000" w:themeColor="text1"/>
                <w:szCs w:val="21"/>
                <w14:textFill>
                  <w14:solidFill>
                    <w14:schemeClr w14:val="tx1"/>
                  </w14:solidFill>
                </w14:textFill>
              </w:rPr>
            </w:pPr>
            <w:r>
              <w:rPr>
                <w:rFonts w:hint="eastAsia" w:ascii="仿宋" w:hAnsi="仿宋" w:eastAsia="仿宋"/>
                <w:color w:val="000000" w:themeColor="text1"/>
                <w:szCs w:val="21"/>
                <w14:textFill>
                  <w14:solidFill>
                    <w14:schemeClr w14:val="tx1"/>
                  </w14:solidFill>
                </w14:textFill>
              </w:rPr>
              <w:t>三、现有技术的缺点和不足及其原因：</w:t>
            </w:r>
          </w:p>
          <w:p w14:paraId="3F76A831">
            <w:pPr>
              <w:rPr>
                <w:rFonts w:hint="eastAsia" w:ascii="仿宋" w:hAnsi="仿宋" w:eastAsia="仿宋"/>
                <w:color w:val="000000" w:themeColor="text1"/>
                <w:szCs w:val="21"/>
                <w14:textFill>
                  <w14:solidFill>
                    <w14:schemeClr w14:val="tx1"/>
                  </w14:solidFill>
                </w14:textFill>
              </w:rPr>
            </w:pPr>
          </w:p>
          <w:p w14:paraId="7072C41A">
            <w:pPr>
              <w:rPr>
                <w:rFonts w:hint="eastAsia" w:ascii="仿宋" w:hAnsi="仿宋" w:eastAsia="仿宋"/>
                <w:color w:val="000000" w:themeColor="text1"/>
                <w:szCs w:val="21"/>
                <w14:textFill>
                  <w14:solidFill>
                    <w14:schemeClr w14:val="tx1"/>
                  </w14:solidFill>
                </w14:textFill>
              </w:rPr>
            </w:pPr>
            <w:r>
              <w:rPr>
                <w:rFonts w:hint="eastAsia" w:ascii="仿宋" w:hAnsi="仿宋" w:eastAsia="仿宋"/>
                <w:color w:val="000000" w:themeColor="text1"/>
                <w:szCs w:val="21"/>
                <w14:textFill>
                  <w14:solidFill>
                    <w14:schemeClr w14:val="tx1"/>
                  </w14:solidFill>
                </w14:textFill>
              </w:rPr>
              <w:t>1. 识别结论与任务系统之间缺少数据通路。现有识别系统的输出为面向人的结论性信息，其数据结构与任务系统的节点状态机之间不存在映射关系，识别结论无法驱动任务节点的字段填充、执行资格判定与状态流转；二者只能由人工在系统之间搬运，形成"识别归识别、任务归任务"的割裂状态。</w:t>
            </w:r>
          </w:p>
          <w:p w14:paraId="49ABAAE2">
            <w:pPr>
              <w:rPr>
                <w:rFonts w:hint="eastAsia" w:ascii="仿宋" w:hAnsi="仿宋" w:eastAsia="仿宋"/>
                <w:color w:val="000000" w:themeColor="text1"/>
                <w:szCs w:val="21"/>
                <w14:textFill>
                  <w14:solidFill>
                    <w14:schemeClr w14:val="tx1"/>
                  </w14:solidFill>
                </w14:textFill>
              </w:rPr>
            </w:pPr>
          </w:p>
          <w:p w14:paraId="53CEC38F">
            <w:pPr>
              <w:rPr>
                <w:rFonts w:hint="eastAsia" w:ascii="仿宋" w:hAnsi="仿宋" w:eastAsia="仿宋"/>
                <w:color w:val="000000" w:themeColor="text1"/>
                <w:szCs w:val="21"/>
                <w14:textFill>
                  <w14:solidFill>
                    <w14:schemeClr w14:val="tx1"/>
                  </w14:solidFill>
                </w14:textFill>
              </w:rPr>
            </w:pPr>
            <w:r>
              <w:rPr>
                <w:rFonts w:hint="eastAsia" w:ascii="仿宋" w:hAnsi="仿宋" w:eastAsia="仿宋"/>
                <w:color w:val="000000" w:themeColor="text1"/>
                <w:szCs w:val="21"/>
                <w14:textFill>
                  <w14:solidFill>
                    <w14:schemeClr w14:val="tx1"/>
                  </w14:solidFill>
                </w14:textFill>
              </w:rPr>
              <w:t>2. 多执行通道并发操作同一任务时缺少互斥机制。任务的执行可由人工批量提交与定时自动执行两种方式触发；现有实现中二者各自独立判断"是否可执行"，判定与写入之间不具备原子性约束，同一任务节点可能被重复执行，进而导致对下游链路（通知发送、状态流转、节点推进）的重复调用与状态错乱。</w:t>
            </w:r>
          </w:p>
          <w:p w14:paraId="3F1C0319">
            <w:pPr>
              <w:rPr>
                <w:rFonts w:hint="eastAsia" w:ascii="仿宋" w:hAnsi="仿宋" w:eastAsia="仿宋"/>
                <w:color w:val="000000" w:themeColor="text1"/>
                <w:szCs w:val="21"/>
                <w14:textFill>
                  <w14:solidFill>
                    <w14:schemeClr w14:val="tx1"/>
                  </w14:solidFill>
                </w14:textFill>
              </w:rPr>
            </w:pPr>
          </w:p>
          <w:p w14:paraId="6FA23126">
            <w:pPr>
              <w:rPr>
                <w:rFonts w:hint="eastAsia" w:ascii="仿宋" w:hAnsi="仿宋" w:eastAsia="仿宋"/>
                <w:color w:val="000000" w:themeColor="text1"/>
                <w:szCs w:val="21"/>
                <w14:textFill>
                  <w14:solidFill>
                    <w14:schemeClr w14:val="tx1"/>
                  </w14:solidFill>
                </w14:textFill>
              </w:rPr>
            </w:pPr>
            <w:r>
              <w:rPr>
                <w:rFonts w:hint="eastAsia" w:ascii="仿宋" w:hAnsi="仿宋" w:eastAsia="仿宋"/>
                <w:color w:val="000000" w:themeColor="text1"/>
                <w:szCs w:val="21"/>
                <w14:textFill>
                  <w14:solidFill>
                    <w14:schemeClr w14:val="tx1"/>
                  </w14:solidFill>
                </w14:textFill>
              </w:rPr>
              <w:t>3. 机器生成内容与人工修改内容分散存储，缺少一致性策略。机器推荐内容写入判定记录，人工修改内容写入任务节点，二者分属不同数据源且无明确的读取优先级与回写规则，在页面填充或执行取数时可能发生人工修改结果被机器结果覆盖、或机器结果无法被读取的情况。</w:t>
            </w:r>
          </w:p>
          <w:p w14:paraId="056D1AE5">
            <w:pPr>
              <w:rPr>
                <w:rFonts w:hint="eastAsia" w:ascii="仿宋" w:hAnsi="仿宋" w:eastAsia="仿宋"/>
                <w:color w:val="000000" w:themeColor="text1"/>
                <w:szCs w:val="21"/>
                <w14:textFill>
                  <w14:solidFill>
                    <w14:schemeClr w14:val="tx1"/>
                  </w14:solidFill>
                </w14:textFill>
              </w:rPr>
            </w:pPr>
          </w:p>
          <w:p w14:paraId="24391AFE">
            <w:pPr>
              <w:rPr>
                <w:rFonts w:hint="eastAsia" w:ascii="仿宋" w:hAnsi="仿宋" w:eastAsia="仿宋"/>
                <w:color w:val="000000" w:themeColor="text1"/>
                <w:szCs w:val="21"/>
                <w14:textFill>
                  <w14:solidFill>
                    <w14:schemeClr w14:val="tx1"/>
                  </w14:solidFill>
                </w14:textFill>
              </w:rPr>
            </w:pPr>
            <w:r>
              <w:rPr>
                <w:rFonts w:hint="eastAsia" w:ascii="仿宋" w:hAnsi="仿宋" w:eastAsia="仿宋"/>
                <w:color w:val="000000" w:themeColor="text1"/>
                <w:szCs w:val="21"/>
                <w14:textFill>
                  <w14:solidFill>
                    <w14:schemeClr w14:val="tx1"/>
                  </w14:solidFill>
                </w14:textFill>
              </w:rPr>
              <w:t>4. 缺少分级放行与执行隔离机制。自动化执行若全量放开，误判将直接造成错误通知；批量执行中单个任务异常亦可能导致整批中断，缺少失败隔离与结果对账能力。</w:t>
            </w:r>
          </w:p>
          <w:p w14:paraId="74204F16">
            <w:pPr>
              <w:rPr>
                <w:rFonts w:hint="eastAsia" w:ascii="仿宋" w:hAnsi="仿宋" w:eastAsia="仿宋"/>
                <w:color w:val="000000" w:themeColor="text1"/>
                <w:szCs w:val="21"/>
                <w14:textFill>
                  <w14:solidFill>
                    <w14:schemeClr w14:val="tx1"/>
                  </w14:solidFill>
                </w14:textFill>
              </w:rPr>
            </w:pPr>
          </w:p>
          <w:p w14:paraId="4AE886E9">
            <w:pPr>
              <w:rPr>
                <w:rFonts w:hint="eastAsia" w:ascii="仿宋" w:hAnsi="仿宋" w:eastAsia="仿宋"/>
                <w:color w:val="000000" w:themeColor="text1"/>
                <w:szCs w:val="21"/>
                <w14:textFill>
                  <w14:solidFill>
                    <w14:schemeClr w14:val="tx1"/>
                  </w14:solidFill>
                </w14:textFill>
              </w:rPr>
            </w:pPr>
            <w:r>
              <w:rPr>
                <w:rFonts w:hint="eastAsia" w:ascii="仿宋" w:hAnsi="仿宋" w:eastAsia="仿宋"/>
                <w:color w:val="000000" w:themeColor="text1"/>
                <w:szCs w:val="21"/>
                <w14:textFill>
                  <w14:solidFill>
                    <w14:schemeClr w14:val="tx1"/>
                  </w14:solidFill>
                </w14:textFill>
              </w:rPr>
              <w:t>5. 上游调用开销大。若各页面实时查询识别结果，将随访问量形成对上游服务的高频重复调用。</w:t>
            </w:r>
          </w:p>
        </w:tc>
      </w:tr>
      <w:tr w14:paraId="0F4AFC56">
        <w:trPr>
          <w:gridAfter w:val="1"/>
          <w:wAfter w:w="143" w:type="pct"/>
          <w:trHeight w:val="505" w:hRule="atLeast"/>
          <w:jc w:val="center"/>
        </w:trPr>
        <w:tc>
          <w:tcPr>
            <w:tcW w:w="4857" w:type="pct"/>
            <w:gridSpan w:val="5"/>
            <w:tcBorders>
              <w:top w:val="single" w:color="auto" w:sz="12" w:space="0"/>
              <w:left w:val="single" w:color="auto" w:sz="12" w:space="0"/>
              <w:bottom w:val="dashSmallGap" w:color="auto" w:sz="4" w:space="0"/>
              <w:right w:val="single" w:color="auto" w:sz="12" w:space="0"/>
            </w:tcBorders>
            <w:vAlign w:val="center"/>
          </w:tcPr>
          <w:p w14:paraId="67C0BC7E">
            <w:pPr>
              <w:pStyle w:val="25"/>
              <w:numPr>
                <w:ilvl w:val="0"/>
                <w:numId w:val="1"/>
              </w:numPr>
              <w:spacing w:line="0" w:lineRule="atLeast"/>
              <w:ind w:firstLineChars="0"/>
              <w:rPr>
                <w:rFonts w:ascii="Arial" w:hAnsi="Arial" w:eastAsia="PMingLiU" w:cs="Arial"/>
                <w:b/>
                <w:sz w:val="20"/>
                <w:szCs w:val="20"/>
                <w:lang w:eastAsia="zh-TW"/>
              </w:rPr>
            </w:pPr>
            <w:r>
              <w:rPr>
                <w:rFonts w:hint="eastAsia" w:cs="Arial" w:asciiTheme="majorEastAsia" w:hAnsiTheme="majorEastAsia" w:eastAsiaTheme="majorEastAsia"/>
                <w:b/>
                <w:sz w:val="20"/>
                <w:szCs w:val="20"/>
                <w:lang w:eastAsia="zh-TW"/>
              </w:rPr>
              <w:t>设计要点(必填项)</w:t>
            </w:r>
          </w:p>
        </w:tc>
      </w:tr>
      <w:tr w14:paraId="525F06BA">
        <w:trPr>
          <w:gridAfter w:val="1"/>
          <w:wAfter w:w="143" w:type="pct"/>
          <w:trHeight w:val="2145" w:hRule="atLeast"/>
          <w:jc w:val="center"/>
        </w:trPr>
        <w:tc>
          <w:tcPr>
            <w:tcW w:w="4857" w:type="pct"/>
            <w:gridSpan w:val="5"/>
            <w:tcBorders>
              <w:top w:val="dashSmallGap" w:color="auto" w:sz="4" w:space="0"/>
              <w:left w:val="single" w:color="auto" w:sz="12" w:space="0"/>
              <w:right w:val="single" w:color="auto" w:sz="12" w:space="0"/>
            </w:tcBorders>
          </w:tcPr>
          <w:p w14:paraId="2063BE5D">
            <w:pPr>
              <w:rPr>
                <w:rFonts w:hint="eastAsia" w:ascii="仿宋" w:hAnsi="仿宋" w:eastAsia="仿宋"/>
                <w:color w:val="000000" w:themeColor="text1"/>
                <w:szCs w:val="21"/>
                <w14:textFill>
                  <w14:solidFill>
                    <w14:schemeClr w14:val="tx1"/>
                  </w14:solidFill>
                </w14:textFill>
              </w:rPr>
            </w:pPr>
            <w:r>
              <w:rPr>
                <w:rFonts w:hint="eastAsia" w:ascii="仿宋" w:hAnsi="仿宋" w:eastAsia="仿宋"/>
                <w:color w:val="000000" w:themeColor="text1"/>
                <w:szCs w:val="21"/>
                <w14:textFill>
                  <w14:solidFill>
                    <w14:schemeClr w14:val="tx1"/>
                  </w14:solidFill>
                </w14:textFill>
              </w:rPr>
              <w:t>针对现有技术的缺点和不足，阐述本发明的发明目的、解决的技术问题是什么？要达到的效果是什么？为了解决现有问题的不足，请用技术的语言简要列出本发明的设计要点，即：本方案必须具备的技术点，以及每个设计要点所起的作用和达到的效果：</w:t>
            </w:r>
          </w:p>
          <w:p w14:paraId="6942F774">
            <w:pPr>
              <w:rPr>
                <w:rFonts w:hint="eastAsia" w:ascii="仿宋" w:hAnsi="仿宋" w:eastAsia="仿宋"/>
                <w:color w:val="000000" w:themeColor="text1"/>
                <w:szCs w:val="21"/>
                <w14:textFill>
                  <w14:solidFill>
                    <w14:schemeClr w14:val="tx1"/>
                  </w14:solidFill>
                </w14:textFill>
              </w:rPr>
            </w:pPr>
          </w:p>
          <w:p w14:paraId="7F2193F8">
            <w:pPr>
              <w:rPr>
                <w:rFonts w:hint="eastAsia" w:ascii="仿宋" w:hAnsi="仿宋" w:eastAsia="仿宋"/>
                <w:color w:val="000000" w:themeColor="text1"/>
                <w:szCs w:val="21"/>
                <w14:textFill>
                  <w14:solidFill>
                    <w14:schemeClr w14:val="tx1"/>
                  </w14:solidFill>
                </w14:textFill>
              </w:rPr>
            </w:pPr>
            <w:r>
              <w:rPr>
                <w:rFonts w:hint="eastAsia" w:ascii="仿宋" w:hAnsi="仿宋" w:eastAsia="仿宋"/>
                <w:color w:val="000000" w:themeColor="text1"/>
                <w:szCs w:val="21"/>
                <w14:textFill>
                  <w14:solidFill>
                    <w14:schemeClr w14:val="tx1"/>
                  </w14:solidFill>
                </w14:textFill>
              </w:rPr>
              <w:t>【填写内容】</w:t>
            </w:r>
          </w:p>
          <w:p w14:paraId="2CF096D9">
            <w:pPr>
              <w:rPr>
                <w:rFonts w:hint="eastAsia" w:ascii="仿宋" w:hAnsi="仿宋" w:eastAsia="仿宋"/>
                <w:color w:val="000000" w:themeColor="text1"/>
                <w:szCs w:val="21"/>
                <w14:textFill>
                  <w14:solidFill>
                    <w14:schemeClr w14:val="tx1"/>
                  </w14:solidFill>
                </w14:textFill>
              </w:rPr>
            </w:pPr>
          </w:p>
          <w:p w14:paraId="12B7AE59">
            <w:pPr>
              <w:rPr>
                <w:rFonts w:hint="eastAsia" w:ascii="仿宋" w:hAnsi="仿宋" w:eastAsia="仿宋"/>
                <w:color w:val="000000" w:themeColor="text1"/>
                <w:szCs w:val="21"/>
                <w14:textFill>
                  <w14:solidFill>
                    <w14:schemeClr w14:val="tx1"/>
                  </w14:solidFill>
                </w14:textFill>
              </w:rPr>
            </w:pPr>
            <w:r>
              <w:rPr>
                <w:rFonts w:hint="eastAsia" w:ascii="仿宋" w:hAnsi="仿宋" w:eastAsia="仿宋"/>
                <w:color w:val="000000" w:themeColor="text1"/>
                <w:szCs w:val="21"/>
                <w14:textFill>
                  <w14:solidFill>
                    <w14:schemeClr w14:val="tx1"/>
                  </w14:solidFill>
                </w14:textFill>
              </w:rPr>
              <w:t>一、所要解决的技术问题（对应上述缺点）：（1）识别结论与任务节点状态机之间缺少数据通路；（2）多执行通道对同一任务节点的并发写入冲突；（3）机器结果与人工结果跨数据源的一致性问题；（4）自动化执行的可控性与批量执行中的失败隔离；（5）对上游服务的重复调用开销。</w:t>
            </w:r>
          </w:p>
          <w:p w14:paraId="5A5491E5">
            <w:pPr>
              <w:rPr>
                <w:rFonts w:hint="eastAsia" w:ascii="仿宋" w:hAnsi="仿宋" w:eastAsia="仿宋"/>
                <w:color w:val="000000" w:themeColor="text1"/>
                <w:szCs w:val="21"/>
                <w14:textFill>
                  <w14:solidFill>
                    <w14:schemeClr w14:val="tx1"/>
                  </w14:solidFill>
                </w14:textFill>
              </w:rPr>
            </w:pPr>
          </w:p>
          <w:p w14:paraId="63571EA7">
            <w:pPr>
              <w:rPr>
                <w:rFonts w:hint="eastAsia" w:ascii="仿宋" w:hAnsi="仿宋" w:eastAsia="仿宋"/>
                <w:color w:val="000000" w:themeColor="text1"/>
                <w:szCs w:val="21"/>
                <w14:textFill>
                  <w14:solidFill>
                    <w14:schemeClr w14:val="tx1"/>
                  </w14:solidFill>
                </w14:textFill>
              </w:rPr>
            </w:pPr>
            <w:r>
              <w:rPr>
                <w:rFonts w:hint="eastAsia" w:ascii="仿宋" w:hAnsi="仿宋" w:eastAsia="仿宋"/>
                <w:color w:val="000000" w:themeColor="text1"/>
                <w:szCs w:val="21"/>
                <w14:textFill>
                  <w14:solidFill>
                    <w14:schemeClr w14:val="tx1"/>
                  </w14:solidFill>
                </w14:textFill>
              </w:rPr>
              <w:t>二、技术效果（可量化）：① 同一任务节点的重复执行被拦截，重复通知执行率为零；② 对下游任务提交通路的无效重复调用次数下降；③ 对上游识别服务的日均调用次数由"随页面访问量"变为"随轮询周期"，与访问量解耦；④ 批量执行中单任务异常不影响其余任务完成，并可通过结果明细对账；⑤ 自动化放行范围可按维度分级收缩，误判影响被限制在已放行范围内。</w:t>
            </w:r>
          </w:p>
          <w:p w14:paraId="60416484">
            <w:pPr>
              <w:rPr>
                <w:rFonts w:hint="eastAsia" w:ascii="仿宋" w:hAnsi="仿宋" w:eastAsia="仿宋"/>
                <w:color w:val="000000" w:themeColor="text1"/>
                <w:szCs w:val="21"/>
                <w14:textFill>
                  <w14:solidFill>
                    <w14:schemeClr w14:val="tx1"/>
                  </w14:solidFill>
                </w14:textFill>
              </w:rPr>
            </w:pPr>
          </w:p>
          <w:p w14:paraId="6BAE224A">
            <w:pPr>
              <w:rPr>
                <w:rFonts w:hint="eastAsia" w:ascii="仿宋" w:hAnsi="仿宋" w:eastAsia="仿宋"/>
                <w:color w:val="000000" w:themeColor="text1"/>
                <w:szCs w:val="21"/>
                <w14:textFill>
                  <w14:solidFill>
                    <w14:schemeClr w14:val="tx1"/>
                  </w14:solidFill>
                </w14:textFill>
              </w:rPr>
            </w:pPr>
            <w:r>
              <w:rPr>
                <w:rFonts w:hint="eastAsia" w:ascii="仿宋" w:hAnsi="仿宋" w:eastAsia="仿宋"/>
                <w:color w:val="000000" w:themeColor="text1"/>
                <w:szCs w:val="21"/>
                <w14:textFill>
                  <w14:solidFill>
                    <w14:schemeClr w14:val="tx1"/>
                  </w14:solidFill>
                </w14:textFill>
              </w:rPr>
              <w:t>三、设计要点（按上位/下位两级列出：上位对应建议的独立权利要求、下位对应从属权利要求，避免将业务规则写入独立权利要求）：</w:t>
            </w:r>
          </w:p>
          <w:p w14:paraId="445EA7FD">
            <w:pPr>
              <w:rPr>
                <w:rFonts w:hint="eastAsia" w:ascii="仿宋" w:hAnsi="仿宋" w:eastAsia="仿宋"/>
                <w:color w:val="000000" w:themeColor="text1"/>
                <w:szCs w:val="21"/>
                <w14:textFill>
                  <w14:solidFill>
                    <w14:schemeClr w14:val="tx1"/>
                  </w14:solidFill>
                </w14:textFill>
              </w:rPr>
            </w:pPr>
          </w:p>
          <w:p w14:paraId="7EB91427">
            <w:pPr>
              <w:rPr>
                <w:rFonts w:hint="eastAsia" w:ascii="仿宋" w:hAnsi="仿宋" w:eastAsia="仿宋"/>
                <w:color w:val="000000" w:themeColor="text1"/>
                <w:szCs w:val="21"/>
                <w14:textFill>
                  <w14:solidFill>
                    <w14:schemeClr w14:val="tx1"/>
                  </w14:solidFill>
                </w14:textFill>
              </w:rPr>
            </w:pPr>
            <w:r>
              <w:rPr>
                <w:rFonts w:hint="eastAsia" w:ascii="仿宋" w:hAnsi="仿宋" w:eastAsia="仿宋"/>
                <w:color w:val="000000" w:themeColor="text1"/>
                <w:szCs w:val="21"/>
                <w14:textFill>
                  <w14:solidFill>
                    <w14:schemeClr w14:val="tx1"/>
                  </w14:solidFill>
                </w14:textFill>
              </w:rPr>
              <w:t>【要点1·上位】建立识别结论到任务节点的数据通路：接收对工地影像数据分析所得的判定结果，所述判定结果至少包括指示满足执行条件的第一状态与指示不满足执行条件的第二状态；将判定结果与任务标识、任务类型、识别时间关联后持久化为判定记录；建立判定记录与任务节点实例之间的关联关系，使判定结果成为任务节点字段填充与执行资格判定的输入。</w:t>
            </w:r>
          </w:p>
          <w:p w14:paraId="1D1854E5">
            <w:pPr>
              <w:rPr>
                <w:rFonts w:hint="eastAsia" w:ascii="仿宋" w:hAnsi="仿宋" w:eastAsia="仿宋"/>
                <w:color w:val="000000" w:themeColor="text1"/>
                <w:szCs w:val="21"/>
                <w14:textFill>
                  <w14:solidFill>
                    <w14:schemeClr w14:val="tx1"/>
                  </w14:solidFill>
                </w14:textFill>
              </w:rPr>
            </w:pPr>
            <w:r>
              <w:rPr>
                <w:rFonts w:hint="eastAsia" w:ascii="仿宋" w:hAnsi="仿宋" w:eastAsia="仿宋"/>
                <w:color w:val="000000" w:themeColor="text1"/>
                <w:szCs w:val="21"/>
                <w14:textFill>
                  <w14:solidFill>
                    <w14:schemeClr w14:val="tx1"/>
                  </w14:solidFill>
                </w14:textFill>
              </w:rPr>
              <w:t>作用：使识别结论可直接驱动任务节点的字段填充与执行资格判定，消除人工在系统之间搬运的环节。</w:t>
            </w:r>
          </w:p>
          <w:p w14:paraId="3C314455">
            <w:pPr>
              <w:rPr>
                <w:rFonts w:hint="eastAsia" w:ascii="仿宋" w:hAnsi="仿宋" w:eastAsia="仿宋"/>
                <w:color w:val="000000" w:themeColor="text1"/>
                <w:szCs w:val="21"/>
                <w14:textFill>
                  <w14:solidFill>
                    <w14:schemeClr w14:val="tx1"/>
                  </w14:solidFill>
                </w14:textFill>
              </w:rPr>
            </w:pPr>
          </w:p>
          <w:p w14:paraId="0A8EAAB5">
            <w:pPr>
              <w:rPr>
                <w:rFonts w:hint="eastAsia" w:ascii="仿宋" w:hAnsi="仿宋" w:eastAsia="仿宋"/>
                <w:color w:val="000000" w:themeColor="text1"/>
                <w:szCs w:val="21"/>
                <w14:textFill>
                  <w14:solidFill>
                    <w14:schemeClr w14:val="tx1"/>
                  </w14:solidFill>
                </w14:textFill>
              </w:rPr>
            </w:pPr>
            <w:r>
              <w:rPr>
                <w:rFonts w:hint="eastAsia" w:ascii="仿宋" w:hAnsi="仿宋" w:eastAsia="仿宋"/>
                <w:color w:val="000000" w:themeColor="text1"/>
                <w:szCs w:val="21"/>
                <w14:textFill>
                  <w14:solidFill>
                    <w14:schemeClr w14:val="tx1"/>
                  </w14:solidFill>
                </w14:textFill>
              </w:rPr>
              <w:t>【要点2·上位】以状态字段为唯一竞争资源的多通道互斥执行：在任务节点实例上设置执行状态字段；人工批量执行通道与定时自动执行通道在写入前，均以"未执行态→目标态"的条件更新判定执行资格，条件更新失败者判定为已被其他通道执行并放弃该任务；条件更新成功者并行调用同一条任务提交通路，单项异常被执行隔离而不阻塞其余项。</w:t>
            </w:r>
          </w:p>
          <w:p w14:paraId="46E07BE8">
            <w:pPr>
              <w:rPr>
                <w:rFonts w:hint="eastAsia" w:ascii="仿宋" w:hAnsi="仿宋" w:eastAsia="仿宋"/>
                <w:color w:val="000000" w:themeColor="text1"/>
                <w:szCs w:val="21"/>
                <w14:textFill>
                  <w14:solidFill>
                    <w14:schemeClr w14:val="tx1"/>
                  </w14:solidFill>
                </w14:textFill>
              </w:rPr>
            </w:pPr>
            <w:r>
              <w:rPr>
                <w:rFonts w:hint="eastAsia" w:ascii="仿宋" w:hAnsi="仿宋" w:eastAsia="仿宋"/>
                <w:color w:val="000000" w:themeColor="text1"/>
                <w:szCs w:val="21"/>
                <w14:textFill>
                  <w14:solidFill>
                    <w14:schemeClr w14:val="tx1"/>
                  </w14:solidFill>
                </w14:textFill>
              </w:rPr>
              <w:t>作用：解决多通道并发写入同一任务节点导致的重复执行问题；复用同一条提交通路保证行为一致，并行执行提升吞吐，失败隔离保证批量可用性。</w:t>
            </w:r>
          </w:p>
          <w:p w14:paraId="69422DF9">
            <w:pPr>
              <w:rPr>
                <w:rFonts w:hint="eastAsia" w:ascii="仿宋" w:hAnsi="仿宋" w:eastAsia="仿宋"/>
                <w:color w:val="000000" w:themeColor="text1"/>
                <w:szCs w:val="21"/>
                <w14:textFill>
                  <w14:solidFill>
                    <w14:schemeClr w14:val="tx1"/>
                  </w14:solidFill>
                </w14:textFill>
              </w:rPr>
            </w:pPr>
          </w:p>
          <w:p w14:paraId="10FFC486">
            <w:pPr>
              <w:rPr>
                <w:rFonts w:hint="eastAsia" w:ascii="仿宋" w:hAnsi="仿宋" w:eastAsia="仿宋"/>
                <w:color w:val="000000" w:themeColor="text1"/>
                <w:szCs w:val="21"/>
                <w14:textFill>
                  <w14:solidFill>
                    <w14:schemeClr w14:val="tx1"/>
                  </w14:solidFill>
                </w14:textFill>
              </w:rPr>
            </w:pPr>
            <w:r>
              <w:rPr>
                <w:rFonts w:hint="eastAsia" w:ascii="仿宋" w:hAnsi="仿宋" w:eastAsia="仿宋"/>
                <w:color w:val="000000" w:themeColor="text1"/>
                <w:szCs w:val="21"/>
                <w14:textFill>
                  <w14:solidFill>
                    <w14:schemeClr w14:val="tx1"/>
                  </w14:solidFill>
                </w14:textFill>
              </w:rPr>
              <w:t>【要点3·下位】判定结果采用多态集合，除第一、第二状态外还包括"无法判断"状态与"现场已完成"状态，并设置差异化处置分支：第一状态进入可执行集合并具备自动执行资格；第二状态与无法判断状态进入预警集合，且无法判断状态禁止进入自动执行；现场已完成状态触发关闭提醒并禁止进入自动执行。</w:t>
            </w:r>
          </w:p>
          <w:p w14:paraId="4EB3E8B2">
            <w:pPr>
              <w:rPr>
                <w:rFonts w:hint="eastAsia" w:ascii="仿宋" w:hAnsi="仿宋" w:eastAsia="仿宋"/>
                <w:color w:val="000000" w:themeColor="text1"/>
                <w:szCs w:val="21"/>
                <w14:textFill>
                  <w14:solidFill>
                    <w14:schemeClr w14:val="tx1"/>
                  </w14:solidFill>
                </w14:textFill>
              </w:rPr>
            </w:pPr>
            <w:r>
              <w:rPr>
                <w:rFonts w:hint="eastAsia" w:ascii="仿宋" w:hAnsi="仿宋" w:eastAsia="仿宋"/>
                <w:color w:val="000000" w:themeColor="text1"/>
                <w:szCs w:val="21"/>
                <w14:textFill>
                  <w14:solidFill>
                    <w14:schemeClr w14:val="tx1"/>
                  </w14:solidFill>
                </w14:textFill>
              </w:rPr>
              <w:t>作用：避免误判被直接执行，同时不埋没任务；已完成任务及时退出考核，避免无效流转。</w:t>
            </w:r>
          </w:p>
          <w:p w14:paraId="2C856622">
            <w:pPr>
              <w:rPr>
                <w:rFonts w:hint="eastAsia" w:ascii="仿宋" w:hAnsi="仿宋" w:eastAsia="仿宋"/>
                <w:color w:val="000000" w:themeColor="text1"/>
                <w:szCs w:val="21"/>
                <w14:textFill>
                  <w14:solidFill>
                    <w14:schemeClr w14:val="tx1"/>
                  </w14:solidFill>
                </w14:textFill>
              </w:rPr>
            </w:pPr>
          </w:p>
          <w:p w14:paraId="0A16E4AF">
            <w:pPr>
              <w:rPr>
                <w:rFonts w:hint="eastAsia" w:ascii="仿宋" w:hAnsi="仿宋" w:eastAsia="仿宋"/>
                <w:color w:val="000000" w:themeColor="text1"/>
                <w:szCs w:val="21"/>
                <w14:textFill>
                  <w14:solidFill>
                    <w14:schemeClr w14:val="tx1"/>
                  </w14:solidFill>
                </w14:textFill>
              </w:rPr>
            </w:pPr>
            <w:r>
              <w:rPr>
                <w:rFonts w:hint="eastAsia" w:ascii="仿宋" w:hAnsi="仿宋" w:eastAsia="仿宋"/>
                <w:color w:val="000000" w:themeColor="text1"/>
                <w:szCs w:val="21"/>
                <w14:textFill>
                  <w14:solidFill>
                    <w14:schemeClr w14:val="tx1"/>
                  </w14:solidFill>
                </w14:textFill>
              </w:rPr>
              <w:t>【要点4·下位】主数据源优先、次级数据源回退的跨源回填策略：读取时优先采用任务节点实例中的字段值（人工修改结果作为锚定值），该字段缺失时回退读取判定记录中最近一次的有效值；用户修改后的值回写至任务节点实例。</w:t>
            </w:r>
          </w:p>
          <w:p w14:paraId="3E86458C">
            <w:pPr>
              <w:rPr>
                <w:rFonts w:hint="eastAsia" w:ascii="仿宋" w:hAnsi="仿宋" w:eastAsia="仿宋"/>
                <w:color w:val="000000" w:themeColor="text1"/>
                <w:szCs w:val="21"/>
                <w14:textFill>
                  <w14:solidFill>
                    <w14:schemeClr w14:val="tx1"/>
                  </w14:solidFill>
                </w14:textFill>
              </w:rPr>
            </w:pPr>
            <w:r>
              <w:rPr>
                <w:rFonts w:hint="eastAsia" w:ascii="仿宋" w:hAnsi="仿宋" w:eastAsia="仿宋"/>
                <w:color w:val="000000" w:themeColor="text1"/>
                <w:szCs w:val="21"/>
                <w14:textFill>
                  <w14:solidFill>
                    <w14:schemeClr w14:val="tx1"/>
                  </w14:solidFill>
                </w14:textFill>
              </w:rPr>
              <w:t>作用：机器结果不覆盖人工修改结果，且无人工修改的任务同样可获得机器预填内容。</w:t>
            </w:r>
          </w:p>
          <w:p w14:paraId="68A4C025">
            <w:pPr>
              <w:rPr>
                <w:rFonts w:hint="eastAsia" w:ascii="仿宋" w:hAnsi="仿宋" w:eastAsia="仿宋"/>
                <w:color w:val="000000" w:themeColor="text1"/>
                <w:szCs w:val="21"/>
                <w14:textFill>
                  <w14:solidFill>
                    <w14:schemeClr w14:val="tx1"/>
                  </w14:solidFill>
                </w14:textFill>
              </w:rPr>
            </w:pPr>
          </w:p>
          <w:p w14:paraId="59EFAEA9">
            <w:pPr>
              <w:rPr>
                <w:rFonts w:hint="eastAsia" w:ascii="仿宋" w:hAnsi="仿宋" w:eastAsia="仿宋"/>
                <w:color w:val="000000" w:themeColor="text1"/>
                <w:szCs w:val="21"/>
                <w14:textFill>
                  <w14:solidFill>
                    <w14:schemeClr w14:val="tx1"/>
                  </w14:solidFill>
                </w14:textFill>
              </w:rPr>
            </w:pPr>
            <w:r>
              <w:rPr>
                <w:rFonts w:hint="eastAsia" w:ascii="仿宋" w:hAnsi="仿宋" w:eastAsia="仿宋"/>
                <w:color w:val="000000" w:themeColor="text1"/>
                <w:szCs w:val="21"/>
                <w14:textFill>
                  <w14:solidFill>
                    <w14:schemeClr w14:val="tx1"/>
                  </w14:solidFill>
                </w14:textFill>
              </w:rPr>
              <w:t>【要点5·下位】分级放行开关与失效关闭策略：以组织维度集合的或命中关系控制功能整体放行，以品类集合控制自动执行通道的准入；开关配置缺失时视为未命中，相关接口返回空结果。</w:t>
            </w:r>
          </w:p>
          <w:p w14:paraId="768E5167">
            <w:pPr>
              <w:rPr>
                <w:rFonts w:hint="eastAsia" w:ascii="仿宋" w:hAnsi="仿宋" w:eastAsia="仿宋"/>
                <w:color w:val="000000" w:themeColor="text1"/>
                <w:szCs w:val="21"/>
                <w14:textFill>
                  <w14:solidFill>
                    <w14:schemeClr w14:val="tx1"/>
                  </w14:solidFill>
                </w14:textFill>
              </w:rPr>
            </w:pPr>
            <w:r>
              <w:rPr>
                <w:rFonts w:hint="eastAsia" w:ascii="仿宋" w:hAnsi="仿宋" w:eastAsia="仿宋"/>
                <w:color w:val="000000" w:themeColor="text1"/>
                <w:szCs w:val="21"/>
                <w14:textFill>
                  <w14:solidFill>
                    <w14:schemeClr w14:val="tx1"/>
                  </w14:solidFill>
                </w14:textFill>
              </w:rPr>
              <w:t>作用：自动化的影响范围可按维度渐进放开，配置异常时自动收缩至不生效的安全状态。</w:t>
            </w:r>
          </w:p>
          <w:p w14:paraId="57681672">
            <w:pPr>
              <w:rPr>
                <w:rFonts w:hint="eastAsia" w:ascii="仿宋" w:hAnsi="仿宋" w:eastAsia="仿宋"/>
                <w:color w:val="000000" w:themeColor="text1"/>
                <w:szCs w:val="21"/>
                <w14:textFill>
                  <w14:solidFill>
                    <w14:schemeClr w14:val="tx1"/>
                  </w14:solidFill>
                </w14:textFill>
              </w:rPr>
            </w:pPr>
          </w:p>
          <w:p w14:paraId="01A98489">
            <w:pPr>
              <w:rPr>
                <w:rFonts w:hint="eastAsia" w:ascii="仿宋" w:hAnsi="仿宋" w:eastAsia="仿宋"/>
                <w:color w:val="000000" w:themeColor="text1"/>
                <w:szCs w:val="21"/>
                <w14:textFill>
                  <w14:solidFill>
                    <w14:schemeClr w14:val="tx1"/>
                  </w14:solidFill>
                </w14:textFill>
              </w:rPr>
            </w:pPr>
            <w:r>
              <w:rPr>
                <w:rFonts w:hint="eastAsia" w:ascii="仿宋" w:hAnsi="仿宋" w:eastAsia="仿宋"/>
                <w:color w:val="000000" w:themeColor="text1"/>
                <w:szCs w:val="21"/>
                <w14:textFill>
                  <w14:solidFill>
                    <w14:schemeClr w14:val="tx1"/>
                  </w14:solidFill>
                </w14:textFill>
              </w:rPr>
              <w:t>【要点6·下位】采纳情况的自动判定与回写，并据此调整放行范围：任务执行时比对判定记录中的推荐内容（推荐上门时间、关键帧图片）与任务节点上最终提交的内容，按以下规则自动归类——内容完全一致记为采纳；仅图片一致记为图片采纳；仅时间一致记为时间采纳；均不一致记为未采纳；将归类结果写入任务节点的采纳字段持久化，并作为后续自动执行准入范围（按品类）的调整依据。</w:t>
            </w:r>
          </w:p>
          <w:p w14:paraId="6F28CB6C">
            <w:pPr>
              <w:rPr>
                <w:rFonts w:hint="eastAsia" w:ascii="仿宋" w:hAnsi="仿宋" w:eastAsia="仿宋"/>
                <w:color w:val="000000" w:themeColor="text1"/>
                <w:szCs w:val="21"/>
                <w14:textFill>
                  <w14:solidFill>
                    <w14:schemeClr w14:val="tx1"/>
                  </w14:solidFill>
                </w14:textFill>
              </w:rPr>
            </w:pPr>
            <w:r>
              <w:rPr>
                <w:rFonts w:hint="eastAsia" w:ascii="仿宋" w:hAnsi="仿宋" w:eastAsia="仿宋"/>
                <w:color w:val="000000" w:themeColor="text1"/>
                <w:szCs w:val="21"/>
                <w14:textFill>
                  <w14:solidFill>
                    <w14:schemeClr w14:val="tx1"/>
                  </w14:solidFill>
                </w14:textFill>
              </w:rPr>
              <w:t>作用：为自动化准确度提供可追溯的量化依据，并形成"判定—执行—采纳—调整准入"的自适应闭环。</w:t>
            </w:r>
          </w:p>
          <w:p w14:paraId="192ACE0A">
            <w:pPr>
              <w:rPr>
                <w:rFonts w:hint="eastAsia" w:ascii="仿宋" w:hAnsi="仿宋" w:eastAsia="仿宋"/>
                <w:color w:val="000000" w:themeColor="text1"/>
                <w:szCs w:val="21"/>
                <w14:textFill>
                  <w14:solidFill>
                    <w14:schemeClr w14:val="tx1"/>
                  </w14:solidFill>
                </w14:textFill>
              </w:rPr>
            </w:pPr>
          </w:p>
          <w:p w14:paraId="1D781277">
            <w:pPr>
              <w:rPr>
                <w:rFonts w:hint="eastAsia" w:ascii="仿宋" w:hAnsi="仿宋" w:eastAsia="仿宋"/>
                <w:color w:val="000000" w:themeColor="text1"/>
                <w:szCs w:val="21"/>
                <w14:textFill>
                  <w14:solidFill>
                    <w14:schemeClr w14:val="tx1"/>
                  </w14:solidFill>
                </w14:textFill>
              </w:rPr>
            </w:pPr>
            <w:r>
              <w:rPr>
                <w:rFonts w:hint="eastAsia" w:ascii="仿宋" w:hAnsi="仿宋" w:eastAsia="仿宋"/>
                <w:color w:val="000000" w:themeColor="text1"/>
                <w:szCs w:val="21"/>
                <w14:textFill>
                  <w14:solidFill>
                    <w14:schemeClr w14:val="tx1"/>
                  </w14:solidFill>
                </w14:textFill>
              </w:rPr>
              <w:t>【要点7·下位】轮询暂存与时间窗触达：按固定周期轮询最新判定结果并写入缓存、同时预取关键帧图片，页面侧读取缓存；摘要计数接口仅在预设时间窗内返回计数，窗口外返回零值。</w:t>
            </w:r>
          </w:p>
          <w:p w14:paraId="1C165E42">
            <w:pPr>
              <w:rPr>
                <w:rFonts w:hint="eastAsia" w:ascii="仿宋" w:hAnsi="仿宋" w:eastAsia="仿宋"/>
                <w:color w:val="000000" w:themeColor="text1"/>
                <w:szCs w:val="21"/>
                <w14:textFill>
                  <w14:solidFill>
                    <w14:schemeClr w14:val="tx1"/>
                  </w14:solidFill>
                </w14:textFill>
              </w:rPr>
            </w:pPr>
            <w:r>
              <w:rPr>
                <w:rFonts w:hint="eastAsia" w:ascii="仿宋" w:hAnsi="仿宋" w:eastAsia="仿宋"/>
                <w:color w:val="000000" w:themeColor="text1"/>
                <w:szCs w:val="21"/>
                <w14:textFill>
                  <w14:solidFill>
                    <w14:schemeClr w14:val="tx1"/>
                  </w14:solidFill>
                </w14:textFill>
              </w:rPr>
              <w:t>作用：降低对上游识别服务的调用频次，并避免过期摘要信息造成误操作。</w:t>
            </w:r>
          </w:p>
        </w:tc>
      </w:tr>
      <w:tr w14:paraId="17629F52">
        <w:trPr>
          <w:gridAfter w:val="1"/>
          <w:wAfter w:w="143" w:type="pct"/>
          <w:trHeight w:val="648" w:hRule="atLeast"/>
          <w:jc w:val="center"/>
        </w:trPr>
        <w:tc>
          <w:tcPr>
            <w:tcW w:w="4857" w:type="pct"/>
            <w:gridSpan w:val="5"/>
            <w:tcBorders>
              <w:top w:val="single" w:color="auto" w:sz="12" w:space="0"/>
              <w:left w:val="single" w:color="auto" w:sz="12" w:space="0"/>
              <w:bottom w:val="dashSmallGap" w:color="auto" w:sz="4" w:space="0"/>
              <w:right w:val="single" w:color="auto" w:sz="12" w:space="0"/>
            </w:tcBorders>
            <w:vAlign w:val="center"/>
          </w:tcPr>
          <w:p w14:paraId="76BACB68">
            <w:pPr>
              <w:pStyle w:val="25"/>
              <w:numPr>
                <w:ilvl w:val="0"/>
                <w:numId w:val="1"/>
              </w:numPr>
              <w:spacing w:line="0" w:lineRule="atLeast"/>
              <w:ind w:firstLineChars="0"/>
              <w:rPr>
                <w:rFonts w:ascii="Arial" w:hAnsi="Arial" w:eastAsia="PMingLiU" w:cs="Arial"/>
                <w:b/>
                <w:sz w:val="20"/>
                <w:szCs w:val="20"/>
                <w:lang w:eastAsia="zh-TW"/>
              </w:rPr>
            </w:pPr>
            <w:r>
              <w:rPr>
                <w:rFonts w:hint="eastAsia" w:cs="Arial" w:asciiTheme="majorEastAsia" w:hAnsiTheme="majorEastAsia" w:eastAsiaTheme="majorEastAsia"/>
                <w:b/>
                <w:sz w:val="20"/>
                <w:szCs w:val="20"/>
                <w:lang w:eastAsia="zh-TW"/>
              </w:rPr>
              <w:t>具体实施方式(必填项)</w:t>
            </w:r>
            <w:bookmarkStart w:id="0" w:name="_GoBack"/>
            <w:bookmarkEnd w:id="0"/>
          </w:p>
        </w:tc>
      </w:tr>
      <w:tr w14:paraId="67A5BC2F">
        <w:trPr>
          <w:gridAfter w:val="1"/>
          <w:wAfter w:w="143" w:type="pct"/>
          <w:trHeight w:val="6645" w:hRule="atLeast"/>
          <w:jc w:val="center"/>
        </w:trPr>
        <w:tc>
          <w:tcPr>
            <w:tcW w:w="4857" w:type="pct"/>
            <w:gridSpan w:val="5"/>
            <w:tcBorders>
              <w:top w:val="dashSmallGap" w:color="auto" w:sz="4" w:space="0"/>
              <w:left w:val="single" w:color="auto" w:sz="12" w:space="0"/>
              <w:bottom w:val="dashSmallGap" w:color="auto" w:sz="4" w:space="0"/>
              <w:right w:val="single" w:color="auto" w:sz="12" w:space="0"/>
            </w:tcBorders>
          </w:tcPr>
          <w:p w14:paraId="62E62680">
            <w:pPr>
              <w:rPr>
                <w:rFonts w:eastAsia="黑体"/>
                <w:color w:val="FF0000"/>
                <w:szCs w:val="21"/>
              </w:rPr>
            </w:pPr>
            <w:r>
              <w:rPr>
                <w:rFonts w:hint="eastAsia" w:eastAsia="黑体"/>
                <w:color w:val="FF0000"/>
                <w:szCs w:val="21"/>
              </w:rPr>
              <w:t>结合具体实施例和附图，完整、清楚地写出本发明要实现上述发明目的的具体技术方案，使本领域的普通技术人员能够理解该技术方案，并能按照该技术方案实现本发明的发明目的。本部分非常重要，这是发明专利的核心部分。对于一种XXX装置的专利申请来说，要结合图纸详细说明构成本发明XXX装置都有哪些部分？各部分的连接关系？位置关系？实现发明目的的工作原理。对于一种XXX方法的专利申请来说，要结合反映该方法的程序框图、按照时间顺序详细说明具体的实现步骤，使同领域的普通技术人员能够按照您的说明，将该发明或者实用新型再现出来。</w:t>
            </w:r>
          </w:p>
          <w:p w14:paraId="7A20933C">
            <w:pPr>
              <w:rPr>
                <w:rFonts w:eastAsia="黑体"/>
                <w:color w:val="FF0000"/>
                <w:szCs w:val="21"/>
              </w:rPr>
            </w:pPr>
          </w:p>
          <w:p w14:paraId="59C117CD">
            <w:pPr>
              <w:rPr>
                <w:rFonts w:eastAsia="黑体"/>
                <w:color w:val="FF0000"/>
                <w:szCs w:val="21"/>
              </w:rPr>
            </w:pPr>
            <w:r>
              <w:rPr>
                <w:rFonts w:hint="eastAsia" w:eastAsia="黑体"/>
                <w:color w:val="FF0000"/>
                <w:szCs w:val="21"/>
              </w:rPr>
              <w:t>【填写内容】</w:t>
            </w:r>
          </w:p>
          <w:p w14:paraId="3987D97B">
            <w:pPr>
              <w:rPr>
                <w:rFonts w:eastAsia="黑体"/>
                <w:color w:val="FF0000"/>
                <w:szCs w:val="21"/>
              </w:rPr>
            </w:pPr>
          </w:p>
          <w:p w14:paraId="40B65B99">
            <w:pPr>
              <w:rPr>
                <w:rFonts w:eastAsia="黑体"/>
                <w:color w:val="000000" w:themeColor="text1"/>
                <w:szCs w:val="21"/>
                <w14:textFill>
                  <w14:solidFill>
                    <w14:schemeClr w14:val="tx1"/>
                  </w14:solidFill>
                </w14:textFill>
              </w:rPr>
            </w:pPr>
            <w:r>
              <w:rPr>
                <w:rFonts w:hint="eastAsia" w:eastAsia="黑体"/>
                <w:color w:val="000000" w:themeColor="text1"/>
                <w:szCs w:val="21"/>
                <w14:textFill>
                  <w14:solidFill>
                    <w14:schemeClr w14:val="tx1"/>
                  </w14:solidFill>
                </w14:textFill>
              </w:rPr>
              <w:t>一、系统总体结构（见图1）：本实施例的系统包括——识别结果接入模块，接收上游识别服务对工地视频与现场照片进行分析后批量回调的判定结果，执行字段校验后写入判定记录表；任务节点数据模块，维护任务节点实例表，每个节点对应一道工序的执行状态、期望上门时间、现场照片、执行状态字段与采纳字段；查询触达模块，按判定状态进行集合归属判定并提供批量查询、摘要计数与页面内容填充；执行模块，包含人工批量执行通道与定时自动执行通道，二者经同一状态字段的条件更新互斥；配置模块，维护分级放行开关并采用失效关闭策略。</w:t>
            </w:r>
          </w:p>
          <w:p w14:paraId="72984B61">
            <w:pPr>
              <w:rPr>
                <w:rFonts w:eastAsia="黑体"/>
                <w:color w:val="000000" w:themeColor="text1"/>
                <w:szCs w:val="21"/>
                <w14:textFill>
                  <w14:solidFill>
                    <w14:schemeClr w14:val="tx1"/>
                  </w14:solidFill>
                </w14:textFill>
              </w:rPr>
            </w:pPr>
          </w:p>
          <w:p w14:paraId="18E4979E">
            <w:pPr>
              <w:rPr>
                <w:rFonts w:eastAsia="黑体"/>
                <w:color w:val="000000" w:themeColor="text1"/>
                <w:szCs w:val="21"/>
                <w14:textFill>
                  <w14:solidFill>
                    <w14:schemeClr w14:val="tx1"/>
                  </w14:solidFill>
                </w14:textFill>
              </w:rPr>
            </w:pPr>
            <w:r>
              <w:rPr>
                <w:rFonts w:hint="eastAsia" w:eastAsia="黑体"/>
                <w:color w:val="000000" w:themeColor="text1"/>
                <w:szCs w:val="21"/>
                <w14:textFill>
                  <w14:solidFill>
                    <w14:schemeClr w14:val="tx1"/>
                  </w14:solidFill>
                </w14:textFill>
              </w:rPr>
              <w:t>二、数据结构：</w:t>
            </w:r>
          </w:p>
          <w:p w14:paraId="01ADF9D4">
            <w:pPr>
              <w:rPr>
                <w:rFonts w:eastAsia="黑体"/>
                <w:color w:val="000000" w:themeColor="text1"/>
                <w:szCs w:val="21"/>
                <w14:textFill>
                  <w14:solidFill>
                    <w14:schemeClr w14:val="tx1"/>
                  </w14:solidFill>
                </w14:textFill>
              </w:rPr>
            </w:pPr>
          </w:p>
          <w:p w14:paraId="1952A721">
            <w:pPr>
              <w:rPr>
                <w:rFonts w:eastAsia="黑体"/>
                <w:color w:val="000000" w:themeColor="text1"/>
                <w:szCs w:val="21"/>
                <w14:textFill>
                  <w14:solidFill>
                    <w14:schemeClr w14:val="tx1"/>
                  </w14:solidFill>
                </w14:textFill>
              </w:rPr>
            </w:pPr>
            <w:r>
              <w:rPr>
                <w:rFonts w:hint="eastAsia" w:eastAsia="黑体"/>
                <w:color w:val="000000" w:themeColor="text1"/>
                <w:szCs w:val="21"/>
                <w14:textFill>
                  <w14:solidFill>
                    <w14:schemeClr w14:val="tx1"/>
                  </w14:solidFill>
                </w14:textFill>
              </w:rPr>
              <w:t>表1 判定记录表（同一任务同一识别日仅保留一条，只增不改）：任务标识、任务类型、判定状态、判定备注、关键帧图片地址列表、识别日期、推荐上门时间、执行状态、采纳情况；索引为（任务标识、任务类型、品类编码）。</w:t>
            </w:r>
          </w:p>
          <w:p w14:paraId="652DAD28">
            <w:pPr>
              <w:rPr>
                <w:rFonts w:eastAsia="黑体"/>
                <w:color w:val="000000" w:themeColor="text1"/>
                <w:szCs w:val="21"/>
                <w14:textFill>
                  <w14:solidFill>
                    <w14:schemeClr w14:val="tx1"/>
                  </w14:solidFill>
                </w14:textFill>
              </w:rPr>
            </w:pPr>
          </w:p>
          <w:p w14:paraId="641B09A6">
            <w:pPr>
              <w:rPr>
                <w:rFonts w:eastAsia="黑体"/>
                <w:color w:val="000000" w:themeColor="text1"/>
                <w:szCs w:val="21"/>
                <w14:textFill>
                  <w14:solidFill>
                    <w14:schemeClr w14:val="tx1"/>
                  </w14:solidFill>
                </w14:textFill>
              </w:rPr>
            </w:pPr>
            <w:r>
              <w:rPr>
                <w:rFonts w:hint="eastAsia" w:eastAsia="黑体"/>
                <w:color w:val="000000" w:themeColor="text1"/>
                <w:szCs w:val="21"/>
                <w14:textFill>
                  <w14:solidFill>
                    <w14:schemeClr w14:val="tx1"/>
                  </w14:solidFill>
                </w14:textFill>
              </w:rPr>
              <w:t>表2 任务节点实例表（在既有任务调度节点表上扩展）：新增采纳情况字段与执行状态字段；既有字段（期望上门时间、现场照片、考核时间、处理状态）构成人工锚定的数据来源。执行状态字段取值为未执行、人工批量执行、自动执行，该字段同时作为两个执行通道的唯一竞争资源与执行结果的判定依据。</w:t>
            </w:r>
          </w:p>
          <w:p w14:paraId="45CCF53A">
            <w:pPr>
              <w:rPr>
                <w:rFonts w:eastAsia="黑体"/>
                <w:color w:val="000000" w:themeColor="text1"/>
                <w:szCs w:val="21"/>
                <w14:textFill>
                  <w14:solidFill>
                    <w14:schemeClr w14:val="tx1"/>
                  </w14:solidFill>
                </w14:textFill>
              </w:rPr>
            </w:pPr>
          </w:p>
          <w:p w14:paraId="42A1BB39">
            <w:pPr>
              <w:rPr>
                <w:rFonts w:eastAsia="黑体"/>
                <w:color w:val="000000" w:themeColor="text1"/>
                <w:szCs w:val="21"/>
                <w14:textFill>
                  <w14:solidFill>
                    <w14:schemeClr w14:val="tx1"/>
                  </w14:solidFill>
                </w14:textFill>
              </w:rPr>
            </w:pPr>
            <w:r>
              <w:rPr>
                <w:rFonts w:hint="eastAsia" w:eastAsia="黑体"/>
                <w:color w:val="000000" w:themeColor="text1"/>
                <w:szCs w:val="21"/>
                <w14:textFill>
                  <w14:solidFill>
                    <w14:schemeClr w14:val="tx1"/>
                  </w14:solidFill>
                </w14:textFill>
              </w:rPr>
              <w:t>三、主要流程（按时间顺序，见图2、图3）：</w:t>
            </w:r>
          </w:p>
          <w:p w14:paraId="61B75CAC">
            <w:pPr>
              <w:rPr>
                <w:rFonts w:eastAsia="黑体"/>
                <w:color w:val="000000" w:themeColor="text1"/>
                <w:szCs w:val="21"/>
                <w14:textFill>
                  <w14:solidFill>
                    <w14:schemeClr w14:val="tx1"/>
                  </w14:solidFill>
                </w14:textFill>
              </w:rPr>
            </w:pPr>
          </w:p>
          <w:p w14:paraId="3A660A87">
            <w:pPr>
              <w:rPr>
                <w:rFonts w:eastAsia="黑体"/>
                <w:color w:val="000000" w:themeColor="text1"/>
                <w:szCs w:val="21"/>
                <w14:textFill>
                  <w14:solidFill>
                    <w14:schemeClr w14:val="tx1"/>
                  </w14:solidFill>
                </w14:textFill>
              </w:rPr>
            </w:pPr>
            <w:r>
              <w:rPr>
                <w:rFonts w:hint="eastAsia" w:eastAsia="黑体"/>
                <w:color w:val="000000" w:themeColor="text1"/>
                <w:szCs w:val="21"/>
                <w14:textFill>
                  <w14:solidFill>
                    <w14:schemeClr w14:val="tx1"/>
                  </w14:solidFill>
                </w14:textFill>
              </w:rPr>
              <w:t>步骤S1 判定结果接入：上游识别服务按预设字段集（任务标识、品类编码、任务类型、识别日期、判定状态、判定备注、图片列表、推荐上门时间）批量回调；接入模块逐项校验（字段完整性、图片列表中的空元素剔除、日期格式），校验通过后写入判定记录表，同一任务同一识别日仅保留一条；执行状态与采纳情况初始化为未处理。</w:t>
            </w:r>
          </w:p>
          <w:p w14:paraId="106BA2C8">
            <w:pPr>
              <w:rPr>
                <w:rFonts w:eastAsia="黑体"/>
                <w:color w:val="000000" w:themeColor="text1"/>
                <w:szCs w:val="21"/>
                <w14:textFill>
                  <w14:solidFill>
                    <w14:schemeClr w14:val="tx1"/>
                  </w14:solidFill>
                </w14:textFill>
              </w:rPr>
            </w:pPr>
          </w:p>
          <w:p w14:paraId="62BEFEA4">
            <w:pPr>
              <w:rPr>
                <w:rFonts w:eastAsia="黑体"/>
                <w:color w:val="000000" w:themeColor="text1"/>
                <w:szCs w:val="21"/>
                <w14:textFill>
                  <w14:solidFill>
                    <w14:schemeClr w14:val="tx1"/>
                  </w14:solidFill>
                </w14:textFill>
              </w:rPr>
            </w:pPr>
            <w:r>
              <w:rPr>
                <w:rFonts w:hint="eastAsia" w:eastAsia="黑体"/>
                <w:color w:val="000000" w:themeColor="text1"/>
                <w:szCs w:val="21"/>
                <w14:textFill>
                  <w14:solidFill>
                    <w14:schemeClr w14:val="tx1"/>
                  </w14:solidFill>
                </w14:textFill>
              </w:rPr>
              <w:t>步骤S2 分态映射与分类查询：查询模块以作业人员标识为入口，取其名下全部处于可执行处理状态的任务节点，与判定记录按（任务标识、品类编码、任务类型、最近识别日期）关联，并按判定状态归属集合：判定为第一状态者进入可执行集合，页面展示推荐上门时间（允许修改）与关键帧图片（默认展示三张、可展开），按工地分组、组内按考核时间升序排列；判定为第二状态、无法判断状态或无判定记录、且考核时间与当前时间的差值不超过预设阈值或已超期者进入预警集合；判定为现场已完成者进入已完成集合，触发关闭提醒推送。所述阈值可根据考核周期设置，本实施例优选为3天。</w:t>
            </w:r>
          </w:p>
          <w:p w14:paraId="5FEF6712">
            <w:pPr>
              <w:rPr>
                <w:rFonts w:eastAsia="黑体"/>
                <w:color w:val="000000" w:themeColor="text1"/>
                <w:szCs w:val="21"/>
                <w14:textFill>
                  <w14:solidFill>
                    <w14:schemeClr w14:val="tx1"/>
                  </w14:solidFill>
                </w14:textFill>
              </w:rPr>
            </w:pPr>
          </w:p>
          <w:p w14:paraId="22030C35">
            <w:pPr>
              <w:rPr>
                <w:rFonts w:eastAsia="黑体"/>
                <w:color w:val="000000" w:themeColor="text1"/>
                <w:szCs w:val="21"/>
                <w14:textFill>
                  <w14:solidFill>
                    <w14:schemeClr w14:val="tx1"/>
                  </w14:solidFill>
                </w14:textFill>
              </w:rPr>
            </w:pPr>
            <w:r>
              <w:rPr>
                <w:rFonts w:hint="eastAsia" w:eastAsia="黑体"/>
                <w:color w:val="000000" w:themeColor="text1"/>
                <w:szCs w:val="21"/>
                <w14:textFill>
                  <w14:solidFill>
                    <w14:schemeClr w14:val="tx1"/>
                  </w14:solidFill>
                </w14:textFill>
              </w:rPr>
              <w:t>步骤S3 跨源回填（见图4）：进入通知页面时优先读取任务节点实例表中的期望上门时间与图片（人工修改结果作为锚定值）；该字段缺失时，回退读取判定记录表中最近一次的有效值进行填充。放行开关未命中时填充结果为空。用户修改后的时间与图片回写至任务节点实例，供后续执行使用。</w:t>
            </w:r>
          </w:p>
          <w:p w14:paraId="100F730D">
            <w:pPr>
              <w:rPr>
                <w:rFonts w:eastAsia="黑体"/>
                <w:color w:val="000000" w:themeColor="text1"/>
                <w:szCs w:val="21"/>
                <w14:textFill>
                  <w14:solidFill>
                    <w14:schemeClr w14:val="tx1"/>
                  </w14:solidFill>
                </w14:textFill>
              </w:rPr>
            </w:pPr>
          </w:p>
          <w:p w14:paraId="585045F9">
            <w:pPr>
              <w:rPr>
                <w:rFonts w:eastAsia="黑体"/>
                <w:color w:val="000000" w:themeColor="text1"/>
                <w:szCs w:val="21"/>
                <w14:textFill>
                  <w14:solidFill>
                    <w14:schemeClr w14:val="tx1"/>
                  </w14:solidFill>
                </w14:textFill>
              </w:rPr>
            </w:pPr>
            <w:r>
              <w:rPr>
                <w:rFonts w:hint="eastAsia" w:eastAsia="黑体"/>
                <w:color w:val="000000" w:themeColor="text1"/>
                <w:szCs w:val="21"/>
                <w14:textFill>
                  <w14:solidFill>
                    <w14:schemeClr w14:val="tx1"/>
                  </w14:solidFill>
                </w14:textFill>
              </w:rPr>
              <w:t>步骤S4 人工批量执行：用户在可执行集合中选取多个任务后批量提交；执行模块对每个任务节点以"执行状态=未执行"为条件执行条件更新（未执行→人工批量执行），更新成功者携带各自明细（图片、期望上门时间）并行调用同一条任务提交通路（复用既有的状态流转、下游通知与节点推进逻辑），单项异常被执行隔离、不阻塞其余项；更新失败者（已被其他通道执行）单独计数返回。同时记录本次操作涉及的全部任务（含被选取与未被选取项）作为操作快照，供事后追溯。</w:t>
            </w:r>
          </w:p>
          <w:p w14:paraId="64FCECFB">
            <w:pPr>
              <w:rPr>
                <w:rFonts w:eastAsia="黑体"/>
                <w:color w:val="000000" w:themeColor="text1"/>
                <w:szCs w:val="21"/>
                <w14:textFill>
                  <w14:solidFill>
                    <w14:schemeClr w14:val="tx1"/>
                  </w14:solidFill>
                </w14:textFill>
              </w:rPr>
            </w:pPr>
          </w:p>
          <w:p w14:paraId="60F2D21E">
            <w:pPr>
              <w:rPr>
                <w:rFonts w:eastAsia="黑体"/>
                <w:color w:val="000000" w:themeColor="text1"/>
                <w:szCs w:val="21"/>
                <w14:textFill>
                  <w14:solidFill>
                    <w14:schemeClr w14:val="tx1"/>
                  </w14:solidFill>
                </w14:textFill>
              </w:rPr>
            </w:pPr>
            <w:r>
              <w:rPr>
                <w:rFonts w:hint="eastAsia" w:eastAsia="黑体"/>
                <w:color w:val="000000" w:themeColor="text1"/>
                <w:szCs w:val="21"/>
                <w14:textFill>
                  <w14:solidFill>
                    <w14:schemeClr w14:val="tx1"/>
                  </w14:solidFill>
                </w14:textFill>
              </w:rPr>
              <w:t>步骤S5 定时自动执行：定时任务扫描判定记录表中"判定状态为第一状态、执行状态为未执行、识别日期为前一自然日"的候选；对每个候选先经品类级开关过滤，再按（任务标识、品类编码）反查任务节点并去重；以"执行状态=未执行→自动执行"的条件更新作为放行门禁，成功后调用与步骤S4相同的任务提交通路完成通知；返回候选数、执行数、跳过数、失败数四项指标。</w:t>
            </w:r>
          </w:p>
          <w:p w14:paraId="4A173909">
            <w:pPr>
              <w:rPr>
                <w:rFonts w:eastAsia="黑体"/>
                <w:color w:val="000000" w:themeColor="text1"/>
                <w:szCs w:val="21"/>
                <w14:textFill>
                  <w14:solidFill>
                    <w14:schemeClr w14:val="tx1"/>
                  </w14:solidFill>
                </w14:textFill>
              </w:rPr>
            </w:pPr>
          </w:p>
          <w:p w14:paraId="58F4A12E">
            <w:pPr>
              <w:rPr>
                <w:rFonts w:eastAsia="黑体"/>
                <w:color w:val="000000" w:themeColor="text1"/>
                <w:szCs w:val="21"/>
                <w14:textFill>
                  <w14:solidFill>
                    <w14:schemeClr w14:val="tx1"/>
                  </w14:solidFill>
                </w14:textFill>
              </w:rPr>
            </w:pPr>
            <w:r>
              <w:rPr>
                <w:rFonts w:hint="eastAsia" w:eastAsia="黑体"/>
                <w:color w:val="000000" w:themeColor="text1"/>
                <w:szCs w:val="21"/>
                <w14:textFill>
                  <w14:solidFill>
                    <w14:schemeClr w14:val="tx1"/>
                  </w14:solidFill>
                </w14:textFill>
              </w:rPr>
              <w:t>步骤S6 采纳判定与回写：任务执行时，比对判定记录中的推荐内容与任务节点上最终提交的内容，按以下规则归类——推荐上门时间与关键帧图片均一致记为采纳；仅图片一致记为图片采纳；仅时间一致记为时间采纳；均不一致记为未采纳。比对时，时间以日期为粒度比对，图片以集合语义比对（不要求顺序一致）；路径与形式差异（同一图片的不同地址形式）视为同一内容。归类结果写入任务节点的采纳字段持久化。</w:t>
            </w:r>
          </w:p>
          <w:p w14:paraId="50008CD6">
            <w:pPr>
              <w:rPr>
                <w:rFonts w:eastAsia="黑体"/>
                <w:color w:val="000000" w:themeColor="text1"/>
                <w:szCs w:val="21"/>
                <w14:textFill>
                  <w14:solidFill>
                    <w14:schemeClr w14:val="tx1"/>
                  </w14:solidFill>
                </w14:textFill>
              </w:rPr>
            </w:pPr>
          </w:p>
          <w:p w14:paraId="27760AA4">
            <w:pPr>
              <w:rPr>
                <w:rFonts w:eastAsia="黑体"/>
                <w:color w:val="000000" w:themeColor="text1"/>
                <w:szCs w:val="21"/>
                <w14:textFill>
                  <w14:solidFill>
                    <w14:schemeClr w14:val="tx1"/>
                  </w14:solidFill>
                </w14:textFill>
              </w:rPr>
            </w:pPr>
            <w:r>
              <w:rPr>
                <w:rFonts w:hint="eastAsia" w:eastAsia="黑体"/>
                <w:color w:val="000000" w:themeColor="text1"/>
                <w:szCs w:val="21"/>
                <w14:textFill>
                  <w14:solidFill>
                    <w14:schemeClr w14:val="tx1"/>
                  </w14:solidFill>
                </w14:textFill>
              </w:rPr>
              <w:t>步骤S7 轮询暂存与时间窗触达：按固定周期（本实施例为每日一次）轮询最新判定结果写入缓存并预取关键帧图片，缓存以任务标识为键保存最新判定结果与关键帧地址列表及写入时间，各页面读取缓存；摘要计数接口仅在预设时间窗内返回计数，窗口外返回零值；轮询中发现现场已完成任务时，向对应作业人员推送关闭提醒。</w:t>
            </w:r>
          </w:p>
          <w:p w14:paraId="4D674928">
            <w:pPr>
              <w:rPr>
                <w:rFonts w:eastAsia="黑体"/>
                <w:color w:val="000000" w:themeColor="text1"/>
                <w:szCs w:val="21"/>
                <w14:textFill>
                  <w14:solidFill>
                    <w14:schemeClr w14:val="tx1"/>
                  </w14:solidFill>
                </w14:textFill>
              </w:rPr>
            </w:pPr>
          </w:p>
          <w:p w14:paraId="0A67C1C0">
            <w:pPr>
              <w:rPr>
                <w:rFonts w:eastAsia="黑体"/>
                <w:color w:val="000000" w:themeColor="text1"/>
                <w:szCs w:val="21"/>
                <w14:textFill>
                  <w14:solidFill>
                    <w14:schemeClr w14:val="tx1"/>
                  </w14:solidFill>
                </w14:textFill>
              </w:rPr>
            </w:pPr>
            <w:r>
              <w:rPr>
                <w:rFonts w:hint="eastAsia" w:eastAsia="黑体"/>
                <w:color w:val="000000" w:themeColor="text1"/>
                <w:szCs w:val="21"/>
                <w14:textFill>
                  <w14:solidFill>
                    <w14:schemeClr w14:val="tx1"/>
                  </w14:solidFill>
                </w14:textFill>
              </w:rPr>
              <w:t>四、关键实现细节（补充公开充分性）：</w:t>
            </w:r>
          </w:p>
          <w:p w14:paraId="614172D3">
            <w:pPr>
              <w:rPr>
                <w:rFonts w:eastAsia="黑体"/>
                <w:color w:val="000000" w:themeColor="text1"/>
                <w:szCs w:val="21"/>
                <w14:textFill>
                  <w14:solidFill>
                    <w14:schemeClr w14:val="tx1"/>
                  </w14:solidFill>
                </w14:textFill>
              </w:rPr>
            </w:pPr>
          </w:p>
          <w:p w14:paraId="6B98218F">
            <w:pPr>
              <w:rPr>
                <w:rFonts w:eastAsia="黑体"/>
                <w:color w:val="000000" w:themeColor="text1"/>
                <w:szCs w:val="21"/>
                <w14:textFill>
                  <w14:solidFill>
                    <w14:schemeClr w14:val="tx1"/>
                  </w14:solidFill>
                </w14:textFill>
              </w:rPr>
            </w:pPr>
            <w:r>
              <w:rPr>
                <w:rFonts w:hint="eastAsia" w:eastAsia="黑体"/>
                <w:color w:val="000000" w:themeColor="text1"/>
                <w:szCs w:val="21"/>
                <w14:textFill>
                  <w14:solidFill>
                    <w14:schemeClr w14:val="tx1"/>
                  </w14:solidFill>
                </w14:textFill>
              </w:rPr>
              <w:t>1. 判定结果的产生：由上游识别服务对工地影像数据按若干识别项输出结论（识别项例如：前置工序完成标志、交界面可见性与遮挡情况、现场材料到位情况等），并按预设阈值汇总为判定状态。本发明不限定额外的识别算法本身，凡能输出上述判定状态者均可作为本方案的输入。</w:t>
            </w:r>
          </w:p>
          <w:p w14:paraId="2763F478">
            <w:pPr>
              <w:rPr>
                <w:rFonts w:eastAsia="黑体"/>
                <w:color w:val="000000" w:themeColor="text1"/>
                <w:szCs w:val="21"/>
                <w14:textFill>
                  <w14:solidFill>
                    <w14:schemeClr w14:val="tx1"/>
                  </w14:solidFill>
                </w14:textFill>
              </w:rPr>
            </w:pPr>
          </w:p>
          <w:p w14:paraId="7F61FFAC">
            <w:pPr>
              <w:rPr>
                <w:rFonts w:eastAsia="黑体"/>
                <w:color w:val="000000" w:themeColor="text1"/>
                <w:szCs w:val="21"/>
                <w14:textFill>
                  <w14:solidFill>
                    <w14:schemeClr w14:val="tx1"/>
                  </w14:solidFill>
                </w14:textFill>
              </w:rPr>
            </w:pPr>
            <w:r>
              <w:rPr>
                <w:rFonts w:hint="eastAsia" w:eastAsia="黑体"/>
                <w:color w:val="000000" w:themeColor="text1"/>
                <w:szCs w:val="21"/>
                <w14:textFill>
                  <w14:solidFill>
                    <w14:schemeClr w14:val="tx1"/>
                  </w14:solidFill>
                </w14:textFill>
              </w:rPr>
              <w:t>2. 并发执行实现：批量执行按批次提交至执行线程池，单任务设置超时时间；单项异常被捕获并计入失败明细，不影响同一批次中其他任务的执行结果；条件更新与下游调用之间不建立长事务，以执行状态字段的取值作为并发结果的事实依据。</w:t>
            </w:r>
          </w:p>
          <w:p w14:paraId="418124C6">
            <w:pPr>
              <w:rPr>
                <w:rFonts w:eastAsia="黑体"/>
                <w:color w:val="000000" w:themeColor="text1"/>
                <w:szCs w:val="21"/>
                <w14:textFill>
                  <w14:solidFill>
                    <w14:schemeClr w14:val="tx1"/>
                  </w14:solidFill>
                </w14:textFill>
              </w:rPr>
            </w:pPr>
          </w:p>
          <w:p w14:paraId="5B77401B">
            <w:pPr>
              <w:rPr>
                <w:rFonts w:eastAsia="黑体"/>
                <w:color w:val="000000" w:themeColor="text1"/>
                <w:szCs w:val="21"/>
                <w14:textFill>
                  <w14:solidFill>
                    <w14:schemeClr w14:val="tx1"/>
                  </w14:solidFill>
                </w14:textFill>
              </w:rPr>
            </w:pPr>
            <w:r>
              <w:rPr>
                <w:rFonts w:hint="eastAsia" w:eastAsia="黑体"/>
                <w:color w:val="000000" w:themeColor="text1"/>
                <w:szCs w:val="21"/>
                <w14:textFill>
                  <w14:solidFill>
                    <w14:schemeClr w14:val="tx1"/>
                  </w14:solidFill>
                </w14:textFill>
              </w:rPr>
              <w:t>3. 缓存与调用降频：页面访问不触发对上游识别服务的实时查询，仅读取轮询写入的缓存，从而将上游调用次数与页面访问量解耦。</w:t>
            </w:r>
          </w:p>
          <w:p w14:paraId="53D4F004">
            <w:pPr>
              <w:rPr>
                <w:rFonts w:eastAsia="黑体"/>
                <w:color w:val="000000" w:themeColor="text1"/>
                <w:szCs w:val="21"/>
                <w14:textFill>
                  <w14:solidFill>
                    <w14:schemeClr w14:val="tx1"/>
                  </w14:solidFill>
                </w14:textFill>
              </w:rPr>
            </w:pPr>
          </w:p>
          <w:p w14:paraId="58611748">
            <w:pPr>
              <w:rPr>
                <w:rFonts w:eastAsia="黑体"/>
                <w:color w:val="000000" w:themeColor="text1"/>
                <w:szCs w:val="21"/>
                <w14:textFill>
                  <w14:solidFill>
                    <w14:schemeClr w14:val="tx1"/>
                  </w14:solidFill>
                </w14:textFill>
              </w:rPr>
            </w:pPr>
            <w:r>
              <w:rPr>
                <w:rFonts w:hint="eastAsia" w:eastAsia="黑体"/>
                <w:color w:val="000000" w:themeColor="text1"/>
                <w:szCs w:val="21"/>
                <w14:textFill>
                  <w14:solidFill>
                    <w14:schemeClr w14:val="tx1"/>
                  </w14:solidFill>
                </w14:textFill>
              </w:rPr>
              <w:t>五、技术效果（量化指标，提交前由发明人补齐实测数据）：① 重复执行拦截：两个执行通道并行/交叉触发时，同一任务节点仅被执行一次，重复通知为0笔；② 无效调用下降：条件更新失败者直接计入已处理，不再调用下游链路；③ 上游调用降频：由"随页面访问次数"降为"每任务每日一次"；④ 批量可靠性：单任务异常不影响同批其余任务，失败项可通过返回明细对账；⑤ 可控放行：开关未命中或配置缺失时功能不生效，误判影响限于已放行范围。</w:t>
            </w:r>
          </w:p>
          <w:p w14:paraId="566A153E">
            <w:pPr>
              <w:rPr>
                <w:rFonts w:eastAsia="黑体"/>
                <w:color w:val="000000" w:themeColor="text1"/>
                <w:szCs w:val="21"/>
                <w14:textFill>
                  <w14:solidFill>
                    <w14:schemeClr w14:val="tx1"/>
                  </w14:solidFill>
                </w14:textFill>
              </w:rPr>
            </w:pPr>
          </w:p>
          <w:p w14:paraId="1A3059A7">
            <w:pPr>
              <w:rPr>
                <w:rFonts w:eastAsia="黑体"/>
                <w:color w:val="FF0000"/>
                <w:szCs w:val="21"/>
              </w:rPr>
            </w:pPr>
            <w:r>
              <w:rPr>
                <w:rFonts w:hint="eastAsia" w:eastAsia="黑体"/>
                <w:color w:val="000000" w:themeColor="text1"/>
                <w:szCs w:val="21"/>
                <w14:textFill>
                  <w14:solidFill>
                    <w14:schemeClr w14:val="tx1"/>
                  </w14:solidFill>
                </w14:textFill>
              </w:rPr>
              <w:t>六、附图说明：图1系统总体架构图；图2判定结果分态与分类处置流程图；图3双通道互斥执行与采纳回写时序图；图4判定态—执行态—采纳态闭环关系图。上述四图见本交底书文末附图1至附图4。</w:t>
            </w:r>
          </w:p>
        </w:tc>
      </w:tr>
    </w:tbl>
    <w:p w14:paraId="6B13AC61"/>
    <w:tbl>
      <w:tblPr>
        <w:tblStyle w:val="15"/>
        <w:tblW w:w="4907"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116"/>
      </w:tblGrid>
      <w:tr w14:paraId="241028E4">
        <w:trPr>
          <w:trHeight w:val="775" w:hRule="atLeast"/>
          <w:jc w:val="center"/>
        </w:trPr>
        <w:tc>
          <w:tcPr>
            <w:tcW w:w="5000" w:type="pct"/>
            <w:tcBorders>
              <w:top w:val="single" w:color="auto" w:sz="12" w:space="0"/>
              <w:left w:val="single" w:color="auto" w:sz="12" w:space="0"/>
              <w:bottom w:val="dashed" w:color="auto" w:sz="4" w:space="0"/>
              <w:right w:val="single" w:color="auto" w:sz="12" w:space="0"/>
            </w:tcBorders>
            <w:vAlign w:val="center"/>
          </w:tcPr>
          <w:p w14:paraId="4A489C36">
            <w:pPr>
              <w:pStyle w:val="25"/>
              <w:numPr>
                <w:ilvl w:val="0"/>
                <w:numId w:val="1"/>
              </w:numPr>
              <w:spacing w:line="0" w:lineRule="atLeast"/>
              <w:ind w:firstLineChars="0"/>
              <w:rPr>
                <w:rFonts w:cs="Arial" w:asciiTheme="majorEastAsia" w:hAnsiTheme="majorEastAsia" w:eastAsiaTheme="majorEastAsia"/>
                <w:sz w:val="18"/>
                <w:szCs w:val="18"/>
              </w:rPr>
            </w:pPr>
            <w:r>
              <w:rPr>
                <w:rFonts w:hint="eastAsia" w:cs="Arial" w:asciiTheme="majorEastAsia" w:hAnsiTheme="majorEastAsia" w:eastAsiaTheme="majorEastAsia"/>
                <w:b/>
                <w:sz w:val="20"/>
                <w:szCs w:val="20"/>
              </w:rPr>
              <w:t>其他</w:t>
            </w:r>
          </w:p>
        </w:tc>
      </w:tr>
      <w:tr w14:paraId="324721CA">
        <w:trPr>
          <w:trHeight w:val="3359" w:hRule="atLeast"/>
          <w:jc w:val="center"/>
        </w:trPr>
        <w:tc>
          <w:tcPr>
            <w:tcW w:w="5000" w:type="pct"/>
            <w:tcBorders>
              <w:top w:val="dashed" w:color="auto" w:sz="4" w:space="0"/>
              <w:left w:val="single" w:color="auto" w:sz="12" w:space="0"/>
              <w:bottom w:val="single" w:color="auto" w:sz="12" w:space="0"/>
              <w:right w:val="single" w:color="auto" w:sz="12" w:space="0"/>
            </w:tcBorders>
          </w:tcPr>
          <w:p w14:paraId="48065D85">
            <w:pPr>
              <w:rPr>
                <w:rFonts w:hint="eastAsia" w:ascii="仿宋" w:hAnsi="仿宋" w:eastAsia="仿宋"/>
                <w:b/>
                <w:color w:val="000000" w:themeColor="text1"/>
                <w:szCs w:val="21"/>
                <w14:textFill>
                  <w14:solidFill>
                    <w14:schemeClr w14:val="tx1"/>
                  </w14:solidFill>
                </w14:textFill>
              </w:rPr>
            </w:pPr>
            <w:r>
              <w:rPr>
                <w:rFonts w:hint="eastAsia" w:ascii="仿宋" w:hAnsi="仿宋" w:eastAsia="仿宋"/>
                <w:b/>
                <w:color w:val="000000" w:themeColor="text1"/>
                <w:szCs w:val="21"/>
                <w14:textFill>
                  <w14:solidFill>
                    <w14:schemeClr w14:val="tx1"/>
                  </w14:solidFill>
                </w14:textFill>
              </w:rPr>
              <w:t>请将填写好的技术交底书提交至大为专利管理系统，网址http://10.26.24.36-80.zt.ke.com。 若发明已被披露或于未来30天内将被披露给销售商、供应商或消费者，请尽快通知IP部加急处理。未来是否有披露计划？如有，请指明计划披露日期和对象，包括将向其披露该发明的制造商、销售商、承包商、放款人等，无论是否已签订NDA。如发现近似专利、论文文献请提供。如有能够帮助部相关人员理解本发明的其他技术参考文献请提供。</w:t>
            </w:r>
          </w:p>
          <w:p w14:paraId="2C0B61B2">
            <w:pPr>
              <w:rPr>
                <w:rFonts w:hint="eastAsia" w:ascii="仿宋" w:hAnsi="仿宋" w:eastAsia="仿宋"/>
                <w:b/>
                <w:color w:val="000000" w:themeColor="text1"/>
                <w:szCs w:val="21"/>
                <w14:textFill>
                  <w14:solidFill>
                    <w14:schemeClr w14:val="tx1"/>
                  </w14:solidFill>
                </w14:textFill>
              </w:rPr>
            </w:pPr>
          </w:p>
          <w:p w14:paraId="242DA128">
            <w:pPr>
              <w:rPr>
                <w:rFonts w:hint="eastAsia" w:ascii="仿宋" w:hAnsi="仿宋" w:eastAsia="仿宋"/>
                <w:b/>
                <w:color w:val="000000" w:themeColor="text1"/>
                <w:szCs w:val="21"/>
                <w14:textFill>
                  <w14:solidFill>
                    <w14:schemeClr w14:val="tx1"/>
                  </w14:solidFill>
                </w14:textFill>
              </w:rPr>
            </w:pPr>
            <w:r>
              <w:rPr>
                <w:rFonts w:hint="eastAsia" w:ascii="仿宋" w:hAnsi="仿宋" w:eastAsia="仿宋"/>
                <w:b/>
                <w:color w:val="000000" w:themeColor="text1"/>
                <w:szCs w:val="21"/>
                <w14:textFill>
                  <w14:solidFill>
                    <w14:schemeClr w14:val="tx1"/>
                  </w14:solidFill>
                </w14:textFill>
              </w:rPr>
              <w:t>【填写内容】</w:t>
            </w:r>
          </w:p>
          <w:p w14:paraId="591C7A09">
            <w:pPr>
              <w:rPr>
                <w:rFonts w:hint="eastAsia" w:ascii="仿宋" w:hAnsi="仿宋" w:eastAsia="仿宋"/>
                <w:b/>
                <w:color w:val="000000" w:themeColor="text1"/>
                <w:szCs w:val="21"/>
                <w14:textFill>
                  <w14:solidFill>
                    <w14:schemeClr w14:val="tx1"/>
                  </w14:solidFill>
                </w14:textFill>
              </w:rPr>
            </w:pPr>
          </w:p>
          <w:p w14:paraId="7BCDA8AA">
            <w:pPr>
              <w:rPr>
                <w:rFonts w:hint="eastAsia" w:ascii="仿宋" w:hAnsi="仿宋" w:eastAsia="仿宋"/>
                <w:b/>
                <w:color w:val="000000" w:themeColor="text1"/>
                <w:szCs w:val="21"/>
                <w14:textFill>
                  <w14:solidFill>
                    <w14:schemeClr w14:val="tx1"/>
                  </w14:solidFill>
                </w14:textFill>
              </w:rPr>
            </w:pPr>
            <w:r>
              <w:rPr>
                <w:rFonts w:hint="eastAsia" w:ascii="仿宋" w:hAnsi="仿宋" w:eastAsia="仿宋"/>
                <w:b/>
                <w:color w:val="000000" w:themeColor="text1"/>
                <w:szCs w:val="21"/>
                <w14:textFill>
                  <w14:solidFill>
                    <w14:schemeClr w14:val="tx1"/>
                  </w14:solidFill>
                </w14:textFill>
              </w:rPr>
              <w:t>一、未来披露计划：暂无对外披露计划；如后续拟向供应商、合作方披露相关技术，将提前通知IP部加急处理。</w:t>
            </w:r>
          </w:p>
          <w:p w14:paraId="1D5EA5EA">
            <w:pPr>
              <w:rPr>
                <w:rFonts w:hint="eastAsia" w:ascii="仿宋" w:hAnsi="仿宋" w:eastAsia="仿宋"/>
                <w:b/>
                <w:color w:val="000000" w:themeColor="text1"/>
                <w:szCs w:val="21"/>
                <w14:textFill>
                  <w14:solidFill>
                    <w14:schemeClr w14:val="tx1"/>
                  </w14:solidFill>
                </w14:textFill>
              </w:rPr>
            </w:pPr>
          </w:p>
          <w:p w14:paraId="5EFB4121">
            <w:pPr>
              <w:rPr>
                <w:rFonts w:hint="eastAsia" w:ascii="仿宋" w:hAnsi="仿宋" w:eastAsia="仿宋"/>
                <w:b/>
                <w:color w:val="000000" w:themeColor="text1"/>
                <w:szCs w:val="21"/>
                <w14:textFill>
                  <w14:solidFill>
                    <w14:schemeClr w14:val="tx1"/>
                  </w14:solidFill>
                </w14:textFill>
              </w:rPr>
            </w:pPr>
            <w:r>
              <w:rPr>
                <w:rFonts w:hint="eastAsia" w:ascii="仿宋" w:hAnsi="仿宋" w:eastAsia="仿宋"/>
                <w:b/>
                <w:color w:val="000000" w:themeColor="text1"/>
                <w:szCs w:val="21"/>
                <w14:textFill>
                  <w14:solidFill>
                    <w14:schemeClr w14:val="tx1"/>
                  </w14:solidFill>
                </w14:textFill>
              </w:rPr>
              <w:t>二、自公开风险评估（重要，提交前须确认）：本方案对应系统已于2026年8月完成开发并上线运行。需向IP部核实并说明：（1）上线范围为内部灰度或全量、功能入口对未命中开关的人员是否可见；（2）可使用该功能的主体（作业人员、供应商、服务人员）是否负有保密义务、是否签署保密约定；（3）是否存在对外宣传材料公开了实现方式（仅功能存在通常不足以公开实现方案）；（4）保留权限配置、访问日志与保密约定作为"未处于公众可得知状态"的证据。如经评估存在公开使用风险，建议将申请标的收敛至申请日前未对外暴露的增强特征（定时自动执行通道的条件更新门禁、采纳情况回写与准入调整）并另案申报。</w:t>
            </w:r>
          </w:p>
          <w:p w14:paraId="259588D3">
            <w:pPr>
              <w:rPr>
                <w:rFonts w:hint="eastAsia" w:ascii="仿宋" w:hAnsi="仿宋" w:eastAsia="仿宋"/>
                <w:b/>
                <w:color w:val="000000" w:themeColor="text1"/>
                <w:szCs w:val="21"/>
                <w14:textFill>
                  <w14:solidFill>
                    <w14:schemeClr w14:val="tx1"/>
                  </w14:solidFill>
                </w14:textFill>
              </w:rPr>
            </w:pPr>
          </w:p>
          <w:p w14:paraId="535EE648">
            <w:pPr>
              <w:rPr>
                <w:rFonts w:hint="eastAsia" w:ascii="仿宋" w:hAnsi="仿宋" w:eastAsia="仿宋"/>
                <w:b/>
                <w:color w:val="000000" w:themeColor="text1"/>
                <w:szCs w:val="21"/>
                <w14:textFill>
                  <w14:solidFill>
                    <w14:schemeClr w14:val="tx1"/>
                  </w14:solidFill>
                </w14:textFill>
              </w:rPr>
            </w:pPr>
            <w:r>
              <w:rPr>
                <w:rFonts w:hint="eastAsia" w:ascii="仿宋" w:hAnsi="仿宋" w:eastAsia="仿宋"/>
                <w:b/>
                <w:color w:val="000000" w:themeColor="text1"/>
                <w:szCs w:val="21"/>
                <w14:textFill>
                  <w14:solidFill>
                    <w14:schemeClr w14:val="tx1"/>
                  </w14:solidFill>
                </w14:textFill>
              </w:rPr>
              <w:t>三、近似专利、论文文献：暂未检索到与本方案核心组合（识别结论驱动任务节点执行资格判定 + 以执行状态字段为唯一竞争资源的多通道条件更新互斥 + 采纳情况回写调整放行范围）相同的公开文献；建议以「图像识别 + 任务调度/履约自动化 + 并发控制/幂等」为关键词在CNIPA、Google Patents进一步检索。</w:t>
            </w:r>
          </w:p>
          <w:p w14:paraId="1E8BBD04">
            <w:pPr>
              <w:rPr>
                <w:rFonts w:hint="eastAsia" w:ascii="仿宋" w:hAnsi="仿宋" w:eastAsia="仿宋"/>
                <w:b/>
                <w:color w:val="000000" w:themeColor="text1"/>
                <w:szCs w:val="21"/>
                <w14:textFill>
                  <w14:solidFill>
                    <w14:schemeClr w14:val="tx1"/>
                  </w14:solidFill>
                </w14:textFill>
              </w:rPr>
            </w:pPr>
          </w:p>
          <w:p w14:paraId="1014A396">
            <w:pPr>
              <w:rPr>
                <w:rFonts w:hint="eastAsia" w:ascii="仿宋" w:hAnsi="仿宋" w:eastAsia="仿宋"/>
                <w:b/>
                <w:color w:val="000000" w:themeColor="text1"/>
                <w:szCs w:val="21"/>
                <w14:textFill>
                  <w14:solidFill>
                    <w14:schemeClr w14:val="tx1"/>
                  </w14:solidFill>
                </w14:textFill>
              </w:rPr>
            </w:pPr>
            <w:r>
              <w:rPr>
                <w:rFonts w:hint="eastAsia" w:ascii="仿宋" w:hAnsi="仿宋" w:eastAsia="仿宋"/>
                <w:b/>
                <w:color w:val="000000" w:themeColor="text1"/>
                <w:szCs w:val="21"/>
                <w14:textFill>
                  <w14:solidFill>
                    <w14:schemeClr w14:val="tx1"/>
                  </w14:solidFill>
                </w14:textFill>
              </w:rPr>
              <w:t>四、其他技术参考文献：无。</w:t>
            </w:r>
          </w:p>
          <w:p w14:paraId="17F53830">
            <w:pPr>
              <w:rPr>
                <w:rFonts w:hint="eastAsia" w:ascii="仿宋" w:hAnsi="仿宋" w:eastAsia="仿宋"/>
                <w:b/>
                <w:color w:val="000000" w:themeColor="text1"/>
                <w:szCs w:val="21"/>
                <w14:textFill>
                  <w14:solidFill>
                    <w14:schemeClr w14:val="tx1"/>
                  </w14:solidFill>
                </w14:textFill>
              </w:rPr>
            </w:pPr>
          </w:p>
          <w:p w14:paraId="63020C34">
            <w:pPr>
              <w:rPr>
                <w:rFonts w:hint="eastAsia" w:ascii="仿宋" w:hAnsi="仿宋" w:eastAsia="仿宋"/>
                <w:b/>
                <w:color w:val="000000" w:themeColor="text1"/>
                <w:szCs w:val="21"/>
                <w14:textFill>
                  <w14:solidFill>
                    <w14:schemeClr w14:val="tx1"/>
                  </w14:solidFill>
                </w14:textFill>
              </w:rPr>
            </w:pPr>
            <w:r>
              <w:rPr>
                <w:rFonts w:hint="eastAsia" w:ascii="仿宋" w:hAnsi="仿宋" w:eastAsia="仿宋"/>
                <w:b/>
                <w:color w:val="000000" w:themeColor="text1"/>
                <w:szCs w:val="21"/>
                <w14:textFill>
                  <w14:solidFill>
                    <w14:schemeClr w14:val="tx1"/>
                  </w14:solidFill>
                </w14:textFill>
              </w:rPr>
              <w:t>五、拆分申报建议（供代理人参考）：本方案的七个要点横跨"识别结果接入与分态处置""执行并发控制与采纳闭环"两个环节。若全部写入独立权利要求，保护范围过宽而易被质疑创造性；建议拆分为两件申请，共享同一说明书：主案A（要点1、3、4、7：识别结论到任务节点的数据通路、多态处置、跨源回填、轮询缓存）；副案B（要点2、5、6：以执行状态字段为唯一竞争资源的双通道互斥执行、分级放行、采纳回写与准入调整），副案B最可能避开"公知手段组合"的质疑。</w:t>
            </w:r>
          </w:p>
          <w:p w14:paraId="262DA1D4">
            <w:pPr>
              <w:rPr>
                <w:rFonts w:hint="eastAsia" w:ascii="仿宋" w:hAnsi="仿宋" w:eastAsia="仿宋"/>
                <w:b/>
                <w:color w:val="000000" w:themeColor="text1"/>
                <w:szCs w:val="21"/>
                <w14:textFill>
                  <w14:solidFill>
                    <w14:schemeClr w14:val="tx1"/>
                  </w14:solidFill>
                </w14:textFill>
              </w:rPr>
            </w:pPr>
          </w:p>
          <w:p w14:paraId="49F8B266">
            <w:pPr>
              <w:rPr>
                <w:rFonts w:hint="eastAsia" w:ascii="仿宋" w:hAnsi="仿宋" w:eastAsia="仿宋"/>
                <w:b/>
                <w:color w:val="000000" w:themeColor="text1"/>
                <w:szCs w:val="21"/>
                <w14:textFill>
                  <w14:solidFill>
                    <w14:schemeClr w14:val="tx1"/>
                  </w14:solidFill>
                </w14:textFill>
              </w:rPr>
            </w:pPr>
            <w:r>
              <w:rPr>
                <w:rFonts w:hint="eastAsia" w:ascii="仿宋" w:hAnsi="仿宋" w:eastAsia="仿宋"/>
                <w:b/>
                <w:color w:val="000000" w:themeColor="text1"/>
                <w:szCs w:val="21"/>
                <w14:textFill>
                  <w14:solidFill>
                    <w14:schemeClr w14:val="tx1"/>
                  </w14:solidFill>
                </w14:textFill>
              </w:rPr>
              <w:t>六、权利要求建议稿（供代理人参考，非正式文本）：</w:t>
            </w:r>
          </w:p>
          <w:p w14:paraId="088426CF">
            <w:pPr>
              <w:rPr>
                <w:rFonts w:hint="eastAsia" w:ascii="仿宋" w:hAnsi="仿宋" w:eastAsia="仿宋"/>
                <w:b/>
                <w:color w:val="000000" w:themeColor="text1"/>
                <w:szCs w:val="21"/>
                <w14:textFill>
                  <w14:solidFill>
                    <w14:schemeClr w14:val="tx1"/>
                  </w14:solidFill>
                </w14:textFill>
              </w:rPr>
            </w:pPr>
          </w:p>
          <w:p w14:paraId="2DC75D24">
            <w:pPr>
              <w:rPr>
                <w:rFonts w:hint="eastAsia" w:ascii="仿宋" w:hAnsi="仿宋" w:eastAsia="仿宋"/>
                <w:b/>
                <w:color w:val="000000" w:themeColor="text1"/>
                <w:szCs w:val="21"/>
                <w14:textFill>
                  <w14:solidFill>
                    <w14:schemeClr w14:val="tx1"/>
                  </w14:solidFill>
                </w14:textFill>
              </w:rPr>
            </w:pPr>
            <w:r>
              <w:rPr>
                <w:rFonts w:hint="eastAsia" w:ascii="仿宋" w:hAnsi="仿宋" w:eastAsia="仿宋"/>
                <w:b/>
                <w:color w:val="000000" w:themeColor="text1"/>
                <w:szCs w:val="21"/>
                <w14:textFill>
                  <w14:solidFill>
                    <w14:schemeClr w14:val="tx1"/>
                  </w14:solidFill>
                </w14:textFill>
              </w:rPr>
              <w:t>1. 一种基于图像识别结果的任务通知方法，其特征在于，包括：接收对工地影像数据分析所得的判定结果，所述判定结果至少包括指示满足执行条件的第一状态与指示不满足执行条件的第二状态；将所述判定结果与任务标识、任务类型及识别时间关联后持久化为判定记录；根据所述判定记录与任务节点实例之间的关联关系，确定任务节点的字段填充内容与执行资格；在任务节点实例的执行状态字段上，以未执行态至目标态的条件更新判定执行资格，条件更新成功时调用任务提交通路执行通知，条件更新失败时放弃执行。</w:t>
            </w:r>
          </w:p>
          <w:p w14:paraId="331760EB">
            <w:pPr>
              <w:rPr>
                <w:rFonts w:hint="eastAsia" w:ascii="仿宋" w:hAnsi="仿宋" w:eastAsia="仿宋"/>
                <w:b/>
                <w:color w:val="000000" w:themeColor="text1"/>
                <w:szCs w:val="21"/>
                <w14:textFill>
                  <w14:solidFill>
                    <w14:schemeClr w14:val="tx1"/>
                  </w14:solidFill>
                </w14:textFill>
              </w:rPr>
            </w:pPr>
          </w:p>
          <w:p w14:paraId="7414FCCE">
            <w:pPr>
              <w:rPr>
                <w:rFonts w:hint="eastAsia" w:ascii="仿宋" w:hAnsi="仿宋" w:eastAsia="仿宋"/>
                <w:b/>
                <w:color w:val="000000" w:themeColor="text1"/>
                <w:szCs w:val="21"/>
                <w14:textFill>
                  <w14:solidFill>
                    <w14:schemeClr w14:val="tx1"/>
                  </w14:solidFill>
                </w14:textFill>
              </w:rPr>
            </w:pPr>
            <w:r>
              <w:rPr>
                <w:rFonts w:hint="eastAsia" w:ascii="仿宋" w:hAnsi="仿宋" w:eastAsia="仿宋"/>
                <w:b/>
                <w:color w:val="000000" w:themeColor="text1"/>
                <w:szCs w:val="21"/>
                <w14:textFill>
                  <w14:solidFill>
                    <w14:schemeClr w14:val="tx1"/>
                  </w14:solidFill>
                </w14:textFill>
              </w:rPr>
              <w:t>2. 根据权利要求1所述的方法，其特征在于，所述判定结果还包括指示无法判断的第三状态与指示现场已完成的第四状态；第三状态与第二状态被归入预警集合且禁止进入自动执行，第四状态触发关闭提醒并禁止进入自动执行。</w:t>
            </w:r>
          </w:p>
          <w:p w14:paraId="2D0A3B4D">
            <w:pPr>
              <w:rPr>
                <w:rFonts w:hint="eastAsia" w:ascii="仿宋" w:hAnsi="仿宋" w:eastAsia="仿宋"/>
                <w:b/>
                <w:color w:val="000000" w:themeColor="text1"/>
                <w:szCs w:val="21"/>
                <w14:textFill>
                  <w14:solidFill>
                    <w14:schemeClr w14:val="tx1"/>
                  </w14:solidFill>
                </w14:textFill>
              </w:rPr>
            </w:pPr>
          </w:p>
          <w:p w14:paraId="5EECB506">
            <w:pPr>
              <w:rPr>
                <w:rFonts w:hint="eastAsia" w:ascii="仿宋" w:hAnsi="仿宋" w:eastAsia="仿宋"/>
                <w:b/>
                <w:color w:val="000000" w:themeColor="text1"/>
                <w:szCs w:val="21"/>
                <w14:textFill>
                  <w14:solidFill>
                    <w14:schemeClr w14:val="tx1"/>
                  </w14:solidFill>
                </w14:textFill>
              </w:rPr>
            </w:pPr>
            <w:r>
              <w:rPr>
                <w:rFonts w:hint="eastAsia" w:ascii="仿宋" w:hAnsi="仿宋" w:eastAsia="仿宋"/>
                <w:b/>
                <w:color w:val="000000" w:themeColor="text1"/>
                <w:szCs w:val="21"/>
                <w14:textFill>
                  <w14:solidFill>
                    <w14:schemeClr w14:val="tx1"/>
                  </w14:solidFill>
                </w14:textFill>
              </w:rPr>
              <w:t>3. 根据权利要求1所述的方法，其特征在于，所述字段填充内容包括上门时间与现场图片；读取时优先采用任务节点实例中的字段值，该字段值缺失时回退读取判定记录中的有效值；用户修改后的字段值回写至任务节点实例。</w:t>
            </w:r>
          </w:p>
          <w:p w14:paraId="4764A5FD">
            <w:pPr>
              <w:rPr>
                <w:rFonts w:hint="eastAsia" w:ascii="仿宋" w:hAnsi="仿宋" w:eastAsia="仿宋"/>
                <w:b/>
                <w:color w:val="000000" w:themeColor="text1"/>
                <w:szCs w:val="21"/>
                <w14:textFill>
                  <w14:solidFill>
                    <w14:schemeClr w14:val="tx1"/>
                  </w14:solidFill>
                </w14:textFill>
              </w:rPr>
            </w:pPr>
          </w:p>
          <w:p w14:paraId="3F68B3D2">
            <w:pPr>
              <w:rPr>
                <w:rFonts w:hint="eastAsia" w:ascii="仿宋" w:hAnsi="仿宋" w:eastAsia="仿宋"/>
                <w:b/>
                <w:color w:val="000000" w:themeColor="text1"/>
                <w:szCs w:val="21"/>
                <w14:textFill>
                  <w14:solidFill>
                    <w14:schemeClr w14:val="tx1"/>
                  </w14:solidFill>
                </w14:textFill>
              </w:rPr>
            </w:pPr>
            <w:r>
              <w:rPr>
                <w:rFonts w:hint="eastAsia" w:ascii="仿宋" w:hAnsi="仿宋" w:eastAsia="仿宋"/>
                <w:b/>
                <w:color w:val="000000" w:themeColor="text1"/>
                <w:szCs w:val="21"/>
                <w14:textFill>
                  <w14:solidFill>
                    <w14:schemeClr w14:val="tx1"/>
                  </w14:solidFill>
                </w14:textFill>
              </w:rPr>
              <w:t>4. 根据权利要求1所述的方法，其特征在于，所述条件更新由人工批量执行通道与定时自动执行通道共用，两通道以所述执行状态字段作为唯一竞争资源。</w:t>
            </w:r>
          </w:p>
          <w:p w14:paraId="69E4AE62">
            <w:pPr>
              <w:rPr>
                <w:rFonts w:hint="eastAsia" w:ascii="仿宋" w:hAnsi="仿宋" w:eastAsia="仿宋"/>
                <w:b/>
                <w:color w:val="000000" w:themeColor="text1"/>
                <w:szCs w:val="21"/>
                <w14:textFill>
                  <w14:solidFill>
                    <w14:schemeClr w14:val="tx1"/>
                  </w14:solidFill>
                </w14:textFill>
              </w:rPr>
            </w:pPr>
          </w:p>
          <w:p w14:paraId="318296FD">
            <w:pPr>
              <w:rPr>
                <w:rFonts w:hint="eastAsia" w:ascii="仿宋" w:hAnsi="仿宋" w:eastAsia="仿宋"/>
                <w:b/>
                <w:color w:val="000000" w:themeColor="text1"/>
                <w:szCs w:val="21"/>
                <w14:textFill>
                  <w14:solidFill>
                    <w14:schemeClr w14:val="tx1"/>
                  </w14:solidFill>
                </w14:textFill>
              </w:rPr>
            </w:pPr>
            <w:r>
              <w:rPr>
                <w:rFonts w:hint="eastAsia" w:ascii="仿宋" w:hAnsi="仿宋" w:eastAsia="仿宋"/>
                <w:b/>
                <w:color w:val="000000" w:themeColor="text1"/>
                <w:szCs w:val="21"/>
                <w14:textFill>
                  <w14:solidFill>
                    <w14:schemeClr w14:val="tx1"/>
                  </w14:solidFill>
                </w14:textFill>
              </w:rPr>
              <w:t>5. 根据权利要求1所述的方法，其特征在于，还包括按组织维度集合或按品类集合控制执行资格的放行，开关配置缺失时判定为未命中。</w:t>
            </w:r>
          </w:p>
          <w:p w14:paraId="02A63202">
            <w:pPr>
              <w:rPr>
                <w:rFonts w:hint="eastAsia" w:ascii="仿宋" w:hAnsi="仿宋" w:eastAsia="仿宋"/>
                <w:b/>
                <w:color w:val="000000" w:themeColor="text1"/>
                <w:szCs w:val="21"/>
                <w14:textFill>
                  <w14:solidFill>
                    <w14:schemeClr w14:val="tx1"/>
                  </w14:solidFill>
                </w14:textFill>
              </w:rPr>
            </w:pPr>
          </w:p>
          <w:p w14:paraId="727F041C">
            <w:pPr>
              <w:rPr>
                <w:rFonts w:hint="eastAsia" w:ascii="仿宋" w:hAnsi="仿宋" w:eastAsia="仿宋"/>
                <w:b/>
                <w:color w:val="000000" w:themeColor="text1"/>
                <w:szCs w:val="21"/>
                <w14:textFill>
                  <w14:solidFill>
                    <w14:schemeClr w14:val="tx1"/>
                  </w14:solidFill>
                </w14:textFill>
              </w:rPr>
            </w:pPr>
            <w:r>
              <w:rPr>
                <w:rFonts w:hint="eastAsia" w:ascii="仿宋" w:hAnsi="仿宋" w:eastAsia="仿宋"/>
                <w:b/>
                <w:color w:val="000000" w:themeColor="text1"/>
                <w:szCs w:val="21"/>
                <w14:textFill>
                  <w14:solidFill>
                    <w14:schemeClr w14:val="tx1"/>
                  </w14:solidFill>
                </w14:textFill>
              </w:rPr>
              <w:t>6. 根据权利要求1所述的方法，其特征在于，还包括：将所述判定记录中的推荐内容与任务节点上最终提交的内容进行比对，按内容一致、仅图片一致、仅时间一致或均不一致分别记为采纳、图片采纳、时间采纳或未采纳，并将归类结果写入任务节点的采纳字段，以及根据归类结果调整后续的自动执行准入范围。</w:t>
            </w:r>
          </w:p>
          <w:p w14:paraId="1BA6DD0C">
            <w:pPr>
              <w:rPr>
                <w:rFonts w:hint="eastAsia" w:ascii="仿宋" w:hAnsi="仿宋" w:eastAsia="仿宋"/>
                <w:b/>
                <w:color w:val="000000" w:themeColor="text1"/>
                <w:szCs w:val="21"/>
                <w14:textFill>
                  <w14:solidFill>
                    <w14:schemeClr w14:val="tx1"/>
                  </w14:solidFill>
                </w14:textFill>
              </w:rPr>
            </w:pPr>
          </w:p>
          <w:p w14:paraId="0726DA67">
            <w:pPr>
              <w:rPr>
                <w:rFonts w:hint="eastAsia" w:ascii="仿宋" w:hAnsi="仿宋" w:eastAsia="仿宋"/>
                <w:b/>
                <w:color w:val="000000" w:themeColor="text1"/>
                <w:szCs w:val="21"/>
                <w14:textFill>
                  <w14:solidFill>
                    <w14:schemeClr w14:val="tx1"/>
                  </w14:solidFill>
                </w14:textFill>
              </w:rPr>
            </w:pPr>
            <w:r>
              <w:rPr>
                <w:rFonts w:hint="eastAsia" w:ascii="仿宋" w:hAnsi="仿宋" w:eastAsia="仿宋"/>
                <w:b/>
                <w:color w:val="000000" w:themeColor="text1"/>
                <w:szCs w:val="21"/>
                <w14:textFill>
                  <w14:solidFill>
                    <w14:schemeClr w14:val="tx1"/>
                  </w14:solidFill>
                </w14:textFill>
              </w:rPr>
              <w:t>7. 根据权利要求1至6任一项所述的方法，其特征在于，所述条件更新成功时，并行调用同一条任务提交通路，单项异常被执行隔离。</w:t>
            </w:r>
          </w:p>
          <w:p w14:paraId="3A250626">
            <w:pPr>
              <w:rPr>
                <w:rFonts w:hint="eastAsia" w:ascii="仿宋" w:hAnsi="仿宋" w:eastAsia="仿宋"/>
                <w:b/>
                <w:color w:val="000000" w:themeColor="text1"/>
                <w:szCs w:val="21"/>
                <w14:textFill>
                  <w14:solidFill>
                    <w14:schemeClr w14:val="tx1"/>
                  </w14:solidFill>
                </w14:textFill>
              </w:rPr>
            </w:pPr>
          </w:p>
          <w:p w14:paraId="4F0F80E2">
            <w:pPr>
              <w:rPr>
                <w:rFonts w:hint="eastAsia" w:ascii="仿宋" w:hAnsi="仿宋" w:eastAsia="仿宋"/>
                <w:b/>
                <w:color w:val="000000" w:themeColor="text1"/>
                <w:szCs w:val="21"/>
                <w14:textFill>
                  <w14:solidFill>
                    <w14:schemeClr w14:val="tx1"/>
                  </w14:solidFill>
                </w14:textFill>
              </w:rPr>
            </w:pPr>
            <w:r>
              <w:rPr>
                <w:rFonts w:hint="eastAsia" w:ascii="仿宋" w:hAnsi="仿宋" w:eastAsia="仿宋"/>
                <w:b/>
                <w:color w:val="000000" w:themeColor="text1"/>
                <w:szCs w:val="21"/>
                <w14:textFill>
                  <w14:solidFill>
                    <w14:schemeClr w14:val="tx1"/>
                  </w14:solidFill>
                </w14:textFill>
              </w:rPr>
              <w:t>8. 一种任务通知系统，包括处理器与存储器，所述存储器存储有计算机程序，其特征在于，所述处理器执行所述计算机程序时实现权利要求1至7任一项所述的方法。</w:t>
            </w:r>
          </w:p>
          <w:p w14:paraId="3E1773C5">
            <w:pPr>
              <w:rPr>
                <w:rFonts w:hint="eastAsia" w:ascii="仿宋" w:hAnsi="仿宋" w:eastAsia="仿宋"/>
                <w:b/>
                <w:color w:val="000000" w:themeColor="text1"/>
                <w:szCs w:val="21"/>
                <w14:textFill>
                  <w14:solidFill>
                    <w14:schemeClr w14:val="tx1"/>
                  </w14:solidFill>
                </w14:textFill>
              </w:rPr>
            </w:pPr>
          </w:p>
          <w:p w14:paraId="2AFDA496">
            <w:pPr>
              <w:rPr>
                <w:rFonts w:hint="eastAsia" w:ascii="仿宋" w:hAnsi="仿宋" w:eastAsia="仿宋"/>
                <w:b/>
                <w:color w:val="000000" w:themeColor="text1"/>
                <w:szCs w:val="21"/>
                <w14:textFill>
                  <w14:solidFill>
                    <w14:schemeClr w14:val="tx1"/>
                  </w14:solidFill>
                </w14:textFill>
              </w:rPr>
            </w:pPr>
            <w:r>
              <w:rPr>
                <w:rFonts w:hint="eastAsia" w:ascii="仿宋" w:hAnsi="仿宋" w:eastAsia="仿宋"/>
                <w:b/>
                <w:color w:val="000000" w:themeColor="text1"/>
                <w:szCs w:val="21"/>
                <w14:textFill>
                  <w14:solidFill>
                    <w14:schemeClr w14:val="tx1"/>
                  </w14:solidFill>
                </w14:textFill>
              </w:rPr>
              <w:t>9. 一种计算机可读存储介质，其上存储有计算机程序，其特征在于，所述计算机程序被处理器执行时实现权利要求1至7任一项所述的方法。</w:t>
            </w:r>
          </w:p>
        </w:tc>
      </w:tr>
    </w:tbl>
    <w:p w14:paraId="49D0A2C2">
      <w:pPr>
        <w:rPr>
          <w:sz w:val="10"/>
          <w:szCs w:val="10"/>
        </w:rPr>
      </w:pPr>
    </w:p>
    <w:p w14:paraId="473C53C9">
      <w:pPr>
        <w:jc w:val="center"/>
      </w:pPr>
      <w:r>
        <w:drawing>
          <wp:inline distT="0" distB="0" distL="0" distR="0">
            <wp:extent cx="5486400" cy="2852420"/>
            <wp:effectExtent l="0" t="0" r="0" b="0"/>
            <wp:docPr id="101" name="fig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1.png"/>
                    <pic:cNvPicPr>
                      <a:picLocks noChangeAspect="1"/>
                    </pic:cNvPicPr>
                  </pic:nvPicPr>
                  <pic:blipFill>
                    <a:blip r:embed="rId6"/>
                    <a:stretch>
                      <a:fillRect/>
                    </a:stretch>
                  </pic:blipFill>
                  <pic:spPr>
                    <a:xfrm>
                      <a:off x="0" y="0"/>
                      <a:ext cx="5486400" cy="2852928"/>
                    </a:xfrm>
                    <a:prstGeom prst="rect">
                      <a:avLst/>
                    </a:prstGeom>
                  </pic:spPr>
                </pic:pic>
              </a:graphicData>
            </a:graphic>
          </wp:inline>
        </w:drawing>
      </w:r>
    </w:p>
    <w:p w14:paraId="4729580A">
      <w:pPr>
        <w:jc w:val="center"/>
      </w:pPr>
      <w:r>
        <w:t>图1  系统总体架构图</w:t>
      </w:r>
    </w:p>
    <w:p w14:paraId="408EE8D1">
      <w:pPr>
        <w:jc w:val="center"/>
      </w:pPr>
      <w:r>
        <w:drawing>
          <wp:inline distT="0" distB="0" distL="0" distR="0">
            <wp:extent cx="5486400" cy="2743200"/>
            <wp:effectExtent l="0" t="0" r="0" b="0"/>
            <wp:docPr id="102" name="fig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2.png"/>
                    <pic:cNvPicPr>
                      <a:picLocks noChangeAspect="1"/>
                    </pic:cNvPicPr>
                  </pic:nvPicPr>
                  <pic:blipFill>
                    <a:blip r:embed="rId7"/>
                    <a:stretch>
                      <a:fillRect/>
                    </a:stretch>
                  </pic:blipFill>
                  <pic:spPr>
                    <a:xfrm>
                      <a:off x="0" y="0"/>
                      <a:ext cx="5486400" cy="2743200"/>
                    </a:xfrm>
                    <a:prstGeom prst="rect">
                      <a:avLst/>
                    </a:prstGeom>
                  </pic:spPr>
                </pic:pic>
              </a:graphicData>
            </a:graphic>
          </wp:inline>
        </w:drawing>
      </w:r>
    </w:p>
    <w:p w14:paraId="1F368FB4">
      <w:pPr>
        <w:jc w:val="center"/>
      </w:pPr>
      <w:r>
        <w:t>图2  判定结果分态与分类处置流程图</w:t>
      </w:r>
    </w:p>
    <w:p w14:paraId="68EDF645">
      <w:pPr>
        <w:jc w:val="center"/>
      </w:pPr>
      <w:r>
        <w:drawing>
          <wp:inline distT="0" distB="0" distL="0" distR="0">
            <wp:extent cx="5486400" cy="2303780"/>
            <wp:effectExtent l="0" t="0" r="0" b="0"/>
            <wp:docPr id="103" name="fig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3.png"/>
                    <pic:cNvPicPr>
                      <a:picLocks noChangeAspect="1"/>
                    </pic:cNvPicPr>
                  </pic:nvPicPr>
                  <pic:blipFill>
                    <a:blip r:embed="rId8"/>
                    <a:stretch>
                      <a:fillRect/>
                    </a:stretch>
                  </pic:blipFill>
                  <pic:spPr>
                    <a:xfrm>
                      <a:off x="0" y="0"/>
                      <a:ext cx="5486400" cy="2304288"/>
                    </a:xfrm>
                    <a:prstGeom prst="rect">
                      <a:avLst/>
                    </a:prstGeom>
                  </pic:spPr>
                </pic:pic>
              </a:graphicData>
            </a:graphic>
          </wp:inline>
        </w:drawing>
      </w:r>
    </w:p>
    <w:p w14:paraId="19E04577">
      <w:pPr>
        <w:jc w:val="center"/>
      </w:pPr>
      <w:r>
        <w:t>图3  双通道互斥执行与采纳回写时序图</w:t>
      </w:r>
    </w:p>
    <w:p w14:paraId="78CAB380">
      <w:pPr>
        <w:jc w:val="center"/>
      </w:pPr>
      <w:r>
        <w:drawing>
          <wp:inline distT="0" distB="0" distL="0" distR="0">
            <wp:extent cx="5486400" cy="3072130"/>
            <wp:effectExtent l="0" t="0" r="0" b="0"/>
            <wp:docPr id="104" name="fig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4.png"/>
                    <pic:cNvPicPr>
                      <a:picLocks noChangeAspect="1"/>
                    </pic:cNvPicPr>
                  </pic:nvPicPr>
                  <pic:blipFill>
                    <a:blip r:embed="rId9"/>
                    <a:stretch>
                      <a:fillRect/>
                    </a:stretch>
                  </pic:blipFill>
                  <pic:spPr>
                    <a:xfrm>
                      <a:off x="0" y="0"/>
                      <a:ext cx="5486400" cy="3072384"/>
                    </a:xfrm>
                    <a:prstGeom prst="rect">
                      <a:avLst/>
                    </a:prstGeom>
                  </pic:spPr>
                </pic:pic>
              </a:graphicData>
            </a:graphic>
          </wp:inline>
        </w:drawing>
      </w:r>
    </w:p>
    <w:p w14:paraId="61C9A182">
      <w:pPr>
        <w:jc w:val="center"/>
      </w:pPr>
      <w:r>
        <w:t>图4  判定态—执行态—采纳态闭环关系图</w:t>
      </w:r>
    </w:p>
    <w:sectPr>
      <w:headerReference r:id="rId3" w:type="default"/>
      <w:footerReference r:id="rId4" w:type="default"/>
      <w:pgSz w:w="11906" w:h="16838"/>
      <w:pgMar w:top="1588" w:right="907" w:bottom="1134" w:left="907" w:header="680" w:footer="624"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Arial">
    <w:panose1 w:val="020B0704020202020204"/>
    <w:charset w:val="00"/>
    <w:family w:val="swiss"/>
    <w:pitch w:val="default"/>
    <w:sig w:usb0="E0002AFF" w:usb1="C0007843" w:usb2="00000009" w:usb3="00000000" w:csb0="400001FF" w:csb1="FFFF0000"/>
  </w:font>
  <w:font w:name="PMingLiU">
    <w:altName w:val="宋体-繁"/>
    <w:panose1 w:val="02010601000101010101"/>
    <w:charset w:val="88"/>
    <w:family w:val="roman"/>
    <w:pitch w:val="default"/>
    <w:sig w:usb0="00000000" w:usb1="00000000" w:usb2="00000016" w:usb3="00000000" w:csb0="00100001" w:csb1="00000000"/>
  </w:font>
  <w:font w:name="Microsoft JhengHei">
    <w:altName w:val="汉仪中简黑简"/>
    <w:panose1 w:val="00000000000000000000"/>
    <w:charset w:val="00"/>
    <w:family w:val="auto"/>
    <w:pitch w:val="default"/>
    <w:sig w:usb0="00000000" w:usb1="00000000" w:usb2="00000000" w:usb3="00000000" w:csb0="00000000" w:csb1="00000000"/>
  </w:font>
  <w:font w:name="仿宋">
    <w:altName w:val="仿宋-简"/>
    <w:panose1 w:val="02010609060101010101"/>
    <w:charset w:val="86"/>
    <w:family w:val="modern"/>
    <w:pitch w:val="default"/>
    <w:sig w:usb0="00000000" w:usb1="00000000" w:usb2="00000016" w:usb3="00000000" w:csb0="00040001" w:csb1="00000000"/>
  </w:font>
  <w:font w:name="黑体">
    <w:altName w:val="汉仪中黑KW"/>
    <w:panose1 w:val="00000000000000000000"/>
    <w:charset w:val="00"/>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仿宋-简">
    <w:panose1 w:val="02010609060101010101"/>
    <w:charset w:val="86"/>
    <w:family w:val="auto"/>
    <w:pitch w:val="default"/>
    <w:sig w:usb0="A00002BF" w:usb1="3ACF7CFA" w:usb2="00000016" w:usb3="00000000" w:csb0="00040001" w:csb1="00000000"/>
  </w:font>
  <w:font w:name="汉仪中黑KW">
    <w:panose1 w:val="00020600040101010101"/>
    <w:charset w:val="86"/>
    <w:family w:val="auto"/>
    <w:pitch w:val="default"/>
    <w:sig w:usb0="A00002BF" w:usb1="18EF7CFA" w:usb2="00000016" w:usb3="00000000" w:csb0="00040000" w:csb1="00000000"/>
  </w:font>
  <w:font w:name="宋体-繁">
    <w:panose1 w:val="02010600040101010101"/>
    <w:charset w:val="86"/>
    <w:family w:val="auto"/>
    <w:pitch w:val="default"/>
    <w:sig w:usb0="00000287" w:usb1="080F0000" w:usb2="00000000" w:usb3="00000000" w:csb0="0004009F" w:csb1="DFD70000"/>
  </w:font>
  <w:font w:name="宋体-简">
    <w:panose1 w:val="02010800040101010101"/>
    <w:charset w:val="86"/>
    <w:family w:val="auto"/>
    <w:pitch w:val="default"/>
    <w:sig w:usb0="00000001" w:usb1="080F0000" w:usb2="00000000" w:usb3="00000000" w:csb0="00040000" w:csb1="00000000"/>
  </w:font>
  <w:font w:name="Kingsoft Sign">
    <w:panose1 w:val="05050102010706020507"/>
    <w:charset w:val="00"/>
    <w:family w:val="auto"/>
    <w:pitch w:val="default"/>
    <w:sig w:usb0="00000000" w:usb1="10000000" w:usb2="00000000" w:usb3="00000000" w:csb0="00000001" w:csb1="00000000"/>
  </w:font>
  <w:font w:name="汉仪中简黑简">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9441394"/>
      <w:docPartObj>
        <w:docPartGallery w:val="AutoText"/>
      </w:docPartObj>
    </w:sdtPr>
    <w:sdtEndPr>
      <w:rPr>
        <w:sz w:val="20"/>
        <w:szCs w:val="20"/>
      </w:rPr>
    </w:sdtEndPr>
    <w:sdtContent>
      <w:sdt>
        <w:sdtPr>
          <w:id w:val="1728636285"/>
          <w:docPartObj>
            <w:docPartGallery w:val="AutoText"/>
          </w:docPartObj>
        </w:sdtPr>
        <w:sdtEndPr>
          <w:rPr>
            <w:sz w:val="20"/>
            <w:szCs w:val="20"/>
          </w:rPr>
        </w:sdtEndPr>
        <w:sdtContent>
          <w:p w14:paraId="606A880B">
            <w:pPr>
              <w:pStyle w:val="12"/>
              <w:jc w:val="center"/>
              <w:rPr>
                <w:b/>
                <w:bCs/>
                <w:sz w:val="20"/>
                <w:szCs w:val="20"/>
              </w:rPr>
            </w:pPr>
            <w:r>
              <w:rPr>
                <w:sz w:val="20"/>
                <w:szCs w:val="20"/>
                <w:lang w:val="zh-CN"/>
              </w:rPr>
              <w:t xml:space="preserve"> </w:t>
            </w:r>
            <w:r>
              <w:rPr>
                <w:b/>
                <w:bCs/>
                <w:sz w:val="20"/>
                <w:szCs w:val="20"/>
              </w:rPr>
              <w:fldChar w:fldCharType="begin"/>
            </w:r>
            <w:r>
              <w:rPr>
                <w:b/>
                <w:bCs/>
                <w:sz w:val="20"/>
                <w:szCs w:val="20"/>
              </w:rPr>
              <w:instrText xml:space="preserve">PAGE</w:instrText>
            </w:r>
            <w:r>
              <w:rPr>
                <w:b/>
                <w:bCs/>
                <w:sz w:val="20"/>
                <w:szCs w:val="20"/>
              </w:rPr>
              <w:fldChar w:fldCharType="separate"/>
            </w:r>
            <w:r>
              <w:rPr>
                <w:b/>
                <w:bCs/>
                <w:sz w:val="20"/>
                <w:szCs w:val="20"/>
              </w:rPr>
              <w:t>2</w:t>
            </w:r>
            <w:r>
              <w:rPr>
                <w:b/>
                <w:bCs/>
                <w:sz w:val="20"/>
                <w:szCs w:val="20"/>
              </w:rPr>
              <w:fldChar w:fldCharType="end"/>
            </w:r>
            <w:r>
              <w:rPr>
                <w:sz w:val="20"/>
                <w:szCs w:val="20"/>
                <w:lang w:val="zh-CN"/>
              </w:rPr>
              <w:t xml:space="preserve"> / </w:t>
            </w:r>
            <w:r>
              <w:rPr>
                <w:b/>
                <w:bCs/>
                <w:sz w:val="20"/>
                <w:szCs w:val="20"/>
              </w:rPr>
              <w:fldChar w:fldCharType="begin"/>
            </w:r>
            <w:r>
              <w:rPr>
                <w:b/>
                <w:bCs/>
                <w:sz w:val="20"/>
                <w:szCs w:val="20"/>
              </w:rPr>
              <w:instrText xml:space="preserve">NUMPAGES</w:instrText>
            </w:r>
            <w:r>
              <w:rPr>
                <w:b/>
                <w:bCs/>
                <w:sz w:val="20"/>
                <w:szCs w:val="20"/>
              </w:rPr>
              <w:fldChar w:fldCharType="separate"/>
            </w:r>
            <w:r>
              <w:rPr>
                <w:b/>
                <w:bCs/>
                <w:sz w:val="20"/>
                <w:szCs w:val="20"/>
              </w:rPr>
              <w:t>3</w:t>
            </w:r>
            <w:r>
              <w:rPr>
                <w:b/>
                <w:bCs/>
                <w:sz w:val="20"/>
                <w:szCs w:val="20"/>
              </w:rPr>
              <w:fldChar w:fldCharType="end"/>
            </w:r>
          </w:p>
          <w:p w14:paraId="1633A05E">
            <w:pPr>
              <w:pStyle w:val="12"/>
              <w:jc w:val="right"/>
              <w:rPr>
                <w:sz w:val="20"/>
                <w:szCs w:val="20"/>
              </w:rPr>
            </w:pPr>
            <w:r>
              <w:rPr>
                <w:b/>
                <w:bCs/>
                <w:sz w:val="20"/>
                <w:szCs w:val="20"/>
              </w:rPr>
              <w:t>V1.0</w:t>
            </w:r>
          </w:p>
        </w:sdtContent>
      </w:sdt>
    </w:sdtContent>
  </w:sdt>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331154">
    <w:pPr>
      <w:pStyle w:val="13"/>
      <w:pBdr>
        <w:bottom w:val="none" w:color="auto" w:sz="0" w:space="0"/>
      </w:pBdr>
      <w:tabs>
        <w:tab w:val="right" w:pos="9180"/>
        <w:tab w:val="clear" w:pos="8306"/>
      </w:tabs>
      <w:ind w:left="-716" w:leftChars="-342" w:right="-2" w:hanging="2"/>
      <w:jc w:val="right"/>
      <w:rPr>
        <w:rFonts w:ascii="Arial" w:hAnsi="Arial" w:cs="Arial"/>
        <w:b/>
        <w:bCs/>
        <w:sz w:val="20"/>
        <w:szCs w:val="20"/>
      </w:rPr>
    </w:pPr>
  </w:p>
  <w:p w14:paraId="33A5FC55">
    <w:pPr>
      <w:pStyle w:val="2"/>
      <w:tabs>
        <w:tab w:val="left" w:pos="-118"/>
        <w:tab w:val="center" w:pos="4516"/>
      </w:tabs>
      <w:spacing w:line="320" w:lineRule="exact"/>
      <w:ind w:left="-718" w:leftChars="-342"/>
      <w:jc w:val="right"/>
      <w:rPr>
        <w:rFonts w:ascii="Arial" w:hAnsi="Arial" w:cs="Arial"/>
        <w:color w:val="4472C4" w:themeColor="accent5"/>
        <w:sz w:val="32"/>
        <w:szCs w:val="32"/>
        <w14:textFill>
          <w14:solidFill>
            <w14:schemeClr w14:val="accent5"/>
          </w14:solidFill>
        </w14:textFill>
      </w:rPr>
    </w:pPr>
    <w:r>
      <w:rPr>
        <w:rFonts w:hint="eastAsia" w:ascii="Arial" w:hAnsi="Arial" w:cs="Arial"/>
        <w:color w:val="4472C4" w:themeColor="accent5"/>
        <w:sz w:val="32"/>
        <w:szCs w:val="32"/>
        <w14:textFill>
          <w14:solidFill>
            <w14:schemeClr w14:val="accent5"/>
          </w14:solidFill>
        </w14:textFill>
      </w:rPr>
      <w:t>贝壳</w:t>
    </w:r>
  </w:p>
  <w:p w14:paraId="7BAE423E">
    <w:pPr>
      <w:pStyle w:val="2"/>
      <w:tabs>
        <w:tab w:val="left" w:pos="-118"/>
        <w:tab w:val="center" w:pos="4516"/>
      </w:tabs>
      <w:spacing w:line="320" w:lineRule="exact"/>
      <w:ind w:left="-718" w:leftChars="-342"/>
      <w:jc w:val="center"/>
      <w:rPr>
        <w:rFonts w:ascii="Arial" w:hAnsi="Arial" w:eastAsia="PMingLiU" w:cs="Arial"/>
        <w:color w:val="000000"/>
        <w:sz w:val="32"/>
        <w:szCs w:val="32"/>
        <w:lang w:eastAsia="zh-TW"/>
      </w:rPr>
    </w:pPr>
    <w:r>
      <w:rPr>
        <w:rFonts w:ascii="Arial" w:hAnsi="Arial" w:cs="Arial"/>
        <w:color w:val="000000"/>
        <w:sz w:val="28"/>
      </w:rPr>
      <w:t xml:space="preserve">     </w:t>
    </w:r>
    <w:r>
      <w:rPr>
        <w:rFonts w:hint="eastAsia" w:ascii="Arial" w:hAnsi="Arial" w:cs="Arial"/>
        <w:color w:val="000000"/>
        <w:sz w:val="28"/>
      </w:rPr>
      <w:t>技术交底书</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7DB6EFD"/>
    <w:multiLevelType w:val="multilevel"/>
    <w:tmpl w:val="77DB6EFD"/>
    <w:lvl w:ilvl="0" w:tentative="0">
      <w:start w:val="1"/>
      <w:numFmt w:val="decimal"/>
      <w:lvlText w:val="%1."/>
      <w:lvlJc w:val="left"/>
      <w:pPr>
        <w:ind w:left="360" w:hanging="360"/>
      </w:pPr>
      <w:rPr>
        <w:rFonts w:hint="default" w:eastAsia="PMingLiU"/>
        <w:b/>
        <w:color w:val="000000" w:themeColor="text1"/>
        <w:sz w:val="20"/>
        <w:szCs w:val="20"/>
        <w14:textFill>
          <w14:solidFill>
            <w14:schemeClr w14:val="tx1"/>
          </w14:solidFill>
        </w14:textFill>
      </w:rPr>
    </w:lvl>
    <w:lvl w:ilvl="1" w:tentative="0">
      <w:start w:val="1"/>
      <w:numFmt w:val="bullet"/>
      <w:lvlText w:val=""/>
      <w:lvlJc w:val="left"/>
      <w:pPr>
        <w:tabs>
          <w:tab w:val="left" w:pos="900"/>
        </w:tabs>
        <w:ind w:left="900" w:hanging="420"/>
      </w:pPr>
      <w:rPr>
        <w:rFonts w:hint="default" w:ascii="Wingdings" w:hAnsi="Wingdings"/>
        <w:sz w:val="15"/>
      </w:rPr>
    </w:lvl>
    <w:lvl w:ilvl="2" w:tentative="0">
      <w:start w:val="1"/>
      <w:numFmt w:val="lowerRoman"/>
      <w:lvlText w:val="%3."/>
      <w:lvlJc w:val="right"/>
      <w:pPr>
        <w:ind w:left="1440" w:hanging="480"/>
      </w:pPr>
    </w:lvl>
    <w:lvl w:ilvl="3" w:tentative="0">
      <w:start w:val="1"/>
      <w:numFmt w:val="decimal"/>
      <w:lvlText w:val="%4."/>
      <w:lvlJc w:val="left"/>
      <w:pPr>
        <w:ind w:left="1920" w:hanging="480"/>
      </w:pPr>
    </w:lvl>
    <w:lvl w:ilvl="4" w:tentative="0">
      <w:start w:val="1"/>
      <w:numFmt w:val="ideographTraditional"/>
      <w:lvlText w:val="%5、"/>
      <w:lvlJc w:val="left"/>
      <w:pPr>
        <w:ind w:left="2400" w:hanging="480"/>
      </w:pPr>
    </w:lvl>
    <w:lvl w:ilvl="5" w:tentative="0">
      <w:start w:val="1"/>
      <w:numFmt w:val="lowerRoman"/>
      <w:lvlText w:val="%6."/>
      <w:lvlJc w:val="right"/>
      <w:pPr>
        <w:ind w:left="2880" w:hanging="480"/>
      </w:pPr>
    </w:lvl>
    <w:lvl w:ilvl="6" w:tentative="0">
      <w:start w:val="1"/>
      <w:numFmt w:val="decimal"/>
      <w:lvlText w:val="%7."/>
      <w:lvlJc w:val="left"/>
      <w:pPr>
        <w:ind w:left="3360" w:hanging="480"/>
      </w:pPr>
    </w:lvl>
    <w:lvl w:ilvl="7" w:tentative="0">
      <w:start w:val="1"/>
      <w:numFmt w:val="ideographTraditional"/>
      <w:lvlText w:val="%8、"/>
      <w:lvlJc w:val="left"/>
      <w:pPr>
        <w:ind w:left="3840" w:hanging="480"/>
      </w:pPr>
    </w:lvl>
    <w:lvl w:ilvl="8" w:tentative="0">
      <w:start w:val="1"/>
      <w:numFmt w:val="lowerRoman"/>
      <w:lvlText w:val="%9."/>
      <w:lvlJc w:val="right"/>
      <w:pPr>
        <w:ind w:left="4320" w:hanging="4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8F3"/>
    <w:rsid w:val="00000657"/>
    <w:rsid w:val="00000883"/>
    <w:rsid w:val="000013C8"/>
    <w:rsid w:val="00003A0F"/>
    <w:rsid w:val="00003F7C"/>
    <w:rsid w:val="00004F38"/>
    <w:rsid w:val="00006B7F"/>
    <w:rsid w:val="0000713F"/>
    <w:rsid w:val="0001190B"/>
    <w:rsid w:val="00011EC3"/>
    <w:rsid w:val="00016A0B"/>
    <w:rsid w:val="00017442"/>
    <w:rsid w:val="00021D25"/>
    <w:rsid w:val="00025742"/>
    <w:rsid w:val="00026FF9"/>
    <w:rsid w:val="000272B2"/>
    <w:rsid w:val="000273A5"/>
    <w:rsid w:val="00031B8B"/>
    <w:rsid w:val="000336C4"/>
    <w:rsid w:val="00033CDF"/>
    <w:rsid w:val="000343F8"/>
    <w:rsid w:val="000369F6"/>
    <w:rsid w:val="00042F42"/>
    <w:rsid w:val="0004474F"/>
    <w:rsid w:val="00046EE8"/>
    <w:rsid w:val="00047091"/>
    <w:rsid w:val="00047C73"/>
    <w:rsid w:val="0005221C"/>
    <w:rsid w:val="00054180"/>
    <w:rsid w:val="00054A10"/>
    <w:rsid w:val="00056335"/>
    <w:rsid w:val="000579AE"/>
    <w:rsid w:val="00062CC9"/>
    <w:rsid w:val="0006661C"/>
    <w:rsid w:val="00067D35"/>
    <w:rsid w:val="000727AA"/>
    <w:rsid w:val="00072A25"/>
    <w:rsid w:val="00073D0F"/>
    <w:rsid w:val="0008345F"/>
    <w:rsid w:val="0008355B"/>
    <w:rsid w:val="00084B68"/>
    <w:rsid w:val="00085E80"/>
    <w:rsid w:val="00086655"/>
    <w:rsid w:val="000878E1"/>
    <w:rsid w:val="0009112D"/>
    <w:rsid w:val="00093855"/>
    <w:rsid w:val="000942F8"/>
    <w:rsid w:val="00097494"/>
    <w:rsid w:val="000A31A9"/>
    <w:rsid w:val="000A4781"/>
    <w:rsid w:val="000A6605"/>
    <w:rsid w:val="000B109F"/>
    <w:rsid w:val="000B34B9"/>
    <w:rsid w:val="000B4688"/>
    <w:rsid w:val="000C173A"/>
    <w:rsid w:val="000C2D56"/>
    <w:rsid w:val="000C4B97"/>
    <w:rsid w:val="000C7611"/>
    <w:rsid w:val="000D0C30"/>
    <w:rsid w:val="000D5BED"/>
    <w:rsid w:val="000E11CF"/>
    <w:rsid w:val="000F0057"/>
    <w:rsid w:val="000F1A67"/>
    <w:rsid w:val="000F3B13"/>
    <w:rsid w:val="000F3FFA"/>
    <w:rsid w:val="000F5EAB"/>
    <w:rsid w:val="00105B4F"/>
    <w:rsid w:val="0011030C"/>
    <w:rsid w:val="00114061"/>
    <w:rsid w:val="00116254"/>
    <w:rsid w:val="0011641A"/>
    <w:rsid w:val="00121906"/>
    <w:rsid w:val="00124103"/>
    <w:rsid w:val="00124E54"/>
    <w:rsid w:val="00127D53"/>
    <w:rsid w:val="00132A4A"/>
    <w:rsid w:val="00132DE9"/>
    <w:rsid w:val="001349C6"/>
    <w:rsid w:val="00134C4B"/>
    <w:rsid w:val="00136A3A"/>
    <w:rsid w:val="00140754"/>
    <w:rsid w:val="0014142C"/>
    <w:rsid w:val="00146440"/>
    <w:rsid w:val="0015131E"/>
    <w:rsid w:val="00151F4B"/>
    <w:rsid w:val="0015438E"/>
    <w:rsid w:val="0016204B"/>
    <w:rsid w:val="00167945"/>
    <w:rsid w:val="001728F3"/>
    <w:rsid w:val="00173239"/>
    <w:rsid w:val="0017386D"/>
    <w:rsid w:val="00175DFA"/>
    <w:rsid w:val="001A1C4D"/>
    <w:rsid w:val="001A4756"/>
    <w:rsid w:val="001A5D4F"/>
    <w:rsid w:val="001A5EFD"/>
    <w:rsid w:val="001B2DC8"/>
    <w:rsid w:val="001B3465"/>
    <w:rsid w:val="001B399F"/>
    <w:rsid w:val="001B45AD"/>
    <w:rsid w:val="001B4F4A"/>
    <w:rsid w:val="001B5642"/>
    <w:rsid w:val="001B5F94"/>
    <w:rsid w:val="001C2416"/>
    <w:rsid w:val="001C3A21"/>
    <w:rsid w:val="001C405A"/>
    <w:rsid w:val="001C4156"/>
    <w:rsid w:val="001C4C20"/>
    <w:rsid w:val="001C660D"/>
    <w:rsid w:val="001C7967"/>
    <w:rsid w:val="001D25DE"/>
    <w:rsid w:val="001D3C3E"/>
    <w:rsid w:val="001D7CC6"/>
    <w:rsid w:val="001E1739"/>
    <w:rsid w:val="001E1925"/>
    <w:rsid w:val="001E36C9"/>
    <w:rsid w:val="001E3A55"/>
    <w:rsid w:val="002045D9"/>
    <w:rsid w:val="00204C00"/>
    <w:rsid w:val="0020596F"/>
    <w:rsid w:val="002064EB"/>
    <w:rsid w:val="00206C4C"/>
    <w:rsid w:val="00206FDE"/>
    <w:rsid w:val="00210B29"/>
    <w:rsid w:val="002110BB"/>
    <w:rsid w:val="0021398F"/>
    <w:rsid w:val="00215BA8"/>
    <w:rsid w:val="00216749"/>
    <w:rsid w:val="00221223"/>
    <w:rsid w:val="002244B1"/>
    <w:rsid w:val="00224B13"/>
    <w:rsid w:val="00226213"/>
    <w:rsid w:val="00226B2A"/>
    <w:rsid w:val="002307AC"/>
    <w:rsid w:val="00234609"/>
    <w:rsid w:val="00234893"/>
    <w:rsid w:val="00240C84"/>
    <w:rsid w:val="00253F0B"/>
    <w:rsid w:val="00253FC4"/>
    <w:rsid w:val="00254D12"/>
    <w:rsid w:val="00260003"/>
    <w:rsid w:val="0026372D"/>
    <w:rsid w:val="00271D46"/>
    <w:rsid w:val="0027722D"/>
    <w:rsid w:val="002773CE"/>
    <w:rsid w:val="002773EE"/>
    <w:rsid w:val="00280FC9"/>
    <w:rsid w:val="00281309"/>
    <w:rsid w:val="00282C54"/>
    <w:rsid w:val="00282D59"/>
    <w:rsid w:val="002851E2"/>
    <w:rsid w:val="002903AC"/>
    <w:rsid w:val="002931B2"/>
    <w:rsid w:val="00293601"/>
    <w:rsid w:val="002A0382"/>
    <w:rsid w:val="002A115B"/>
    <w:rsid w:val="002A2525"/>
    <w:rsid w:val="002A279F"/>
    <w:rsid w:val="002A6368"/>
    <w:rsid w:val="002B02A3"/>
    <w:rsid w:val="002B0464"/>
    <w:rsid w:val="002B1A6E"/>
    <w:rsid w:val="002B4723"/>
    <w:rsid w:val="002B48B3"/>
    <w:rsid w:val="002B48FA"/>
    <w:rsid w:val="002B607B"/>
    <w:rsid w:val="002C06C9"/>
    <w:rsid w:val="002C17C3"/>
    <w:rsid w:val="002C4C05"/>
    <w:rsid w:val="002D089C"/>
    <w:rsid w:val="002D443C"/>
    <w:rsid w:val="002D52F7"/>
    <w:rsid w:val="002D62C9"/>
    <w:rsid w:val="002D7CE6"/>
    <w:rsid w:val="002E08C4"/>
    <w:rsid w:val="002E0BBB"/>
    <w:rsid w:val="002E1A27"/>
    <w:rsid w:val="002E6F72"/>
    <w:rsid w:val="002F0799"/>
    <w:rsid w:val="002F1EAF"/>
    <w:rsid w:val="002F3E6D"/>
    <w:rsid w:val="002F67BB"/>
    <w:rsid w:val="003015D1"/>
    <w:rsid w:val="00303023"/>
    <w:rsid w:val="0030534D"/>
    <w:rsid w:val="003053C0"/>
    <w:rsid w:val="00313A74"/>
    <w:rsid w:val="00315D20"/>
    <w:rsid w:val="003164D5"/>
    <w:rsid w:val="0032254C"/>
    <w:rsid w:val="00322EE1"/>
    <w:rsid w:val="00327CD1"/>
    <w:rsid w:val="00331695"/>
    <w:rsid w:val="0033208C"/>
    <w:rsid w:val="003326F8"/>
    <w:rsid w:val="00334392"/>
    <w:rsid w:val="003351CB"/>
    <w:rsid w:val="00335B16"/>
    <w:rsid w:val="00336C48"/>
    <w:rsid w:val="00337487"/>
    <w:rsid w:val="0033778B"/>
    <w:rsid w:val="00337A3D"/>
    <w:rsid w:val="003422A7"/>
    <w:rsid w:val="003462AF"/>
    <w:rsid w:val="00346819"/>
    <w:rsid w:val="00346D0F"/>
    <w:rsid w:val="003501C9"/>
    <w:rsid w:val="00350A66"/>
    <w:rsid w:val="00352D93"/>
    <w:rsid w:val="00353E43"/>
    <w:rsid w:val="00353F5C"/>
    <w:rsid w:val="00356010"/>
    <w:rsid w:val="003566E9"/>
    <w:rsid w:val="003571EA"/>
    <w:rsid w:val="00357249"/>
    <w:rsid w:val="003579F7"/>
    <w:rsid w:val="00357EE1"/>
    <w:rsid w:val="00360BC3"/>
    <w:rsid w:val="00361271"/>
    <w:rsid w:val="00361291"/>
    <w:rsid w:val="003646B9"/>
    <w:rsid w:val="003678FE"/>
    <w:rsid w:val="00372390"/>
    <w:rsid w:val="00374B38"/>
    <w:rsid w:val="003827E3"/>
    <w:rsid w:val="00382AE6"/>
    <w:rsid w:val="003847B4"/>
    <w:rsid w:val="00393C3C"/>
    <w:rsid w:val="00394CED"/>
    <w:rsid w:val="00395187"/>
    <w:rsid w:val="00396667"/>
    <w:rsid w:val="00396C7C"/>
    <w:rsid w:val="00396FD0"/>
    <w:rsid w:val="003A2335"/>
    <w:rsid w:val="003A3B42"/>
    <w:rsid w:val="003B2AB3"/>
    <w:rsid w:val="003B4FE2"/>
    <w:rsid w:val="003C0085"/>
    <w:rsid w:val="003C0E1F"/>
    <w:rsid w:val="003C544B"/>
    <w:rsid w:val="003C750E"/>
    <w:rsid w:val="003D45FF"/>
    <w:rsid w:val="003D5793"/>
    <w:rsid w:val="003E1DBD"/>
    <w:rsid w:val="003E2DD0"/>
    <w:rsid w:val="003E6292"/>
    <w:rsid w:val="003E7BB1"/>
    <w:rsid w:val="004019C2"/>
    <w:rsid w:val="00402907"/>
    <w:rsid w:val="004051CE"/>
    <w:rsid w:val="0041665B"/>
    <w:rsid w:val="0041666F"/>
    <w:rsid w:val="00422D47"/>
    <w:rsid w:val="00422E4E"/>
    <w:rsid w:val="00422EB3"/>
    <w:rsid w:val="00423577"/>
    <w:rsid w:val="00423737"/>
    <w:rsid w:val="00434BCE"/>
    <w:rsid w:val="00437675"/>
    <w:rsid w:val="00437E23"/>
    <w:rsid w:val="00440CE7"/>
    <w:rsid w:val="00442638"/>
    <w:rsid w:val="0044732E"/>
    <w:rsid w:val="0045071C"/>
    <w:rsid w:val="00451554"/>
    <w:rsid w:val="00460FB4"/>
    <w:rsid w:val="004633AC"/>
    <w:rsid w:val="00463AE9"/>
    <w:rsid w:val="004713B0"/>
    <w:rsid w:val="00471C7C"/>
    <w:rsid w:val="00471D57"/>
    <w:rsid w:val="00473D23"/>
    <w:rsid w:val="00483A81"/>
    <w:rsid w:val="0048579F"/>
    <w:rsid w:val="0048627B"/>
    <w:rsid w:val="0048784D"/>
    <w:rsid w:val="00491D77"/>
    <w:rsid w:val="00492DEA"/>
    <w:rsid w:val="004930F5"/>
    <w:rsid w:val="00493928"/>
    <w:rsid w:val="00493947"/>
    <w:rsid w:val="0049511D"/>
    <w:rsid w:val="00497F94"/>
    <w:rsid w:val="004A2AF4"/>
    <w:rsid w:val="004A5D1A"/>
    <w:rsid w:val="004A7D9C"/>
    <w:rsid w:val="004B034E"/>
    <w:rsid w:val="004B0902"/>
    <w:rsid w:val="004B0C24"/>
    <w:rsid w:val="004B17F1"/>
    <w:rsid w:val="004B1A66"/>
    <w:rsid w:val="004B4E91"/>
    <w:rsid w:val="004B6B2E"/>
    <w:rsid w:val="004B6C14"/>
    <w:rsid w:val="004B6C2B"/>
    <w:rsid w:val="004C07A6"/>
    <w:rsid w:val="004C4510"/>
    <w:rsid w:val="004C487F"/>
    <w:rsid w:val="004E246A"/>
    <w:rsid w:val="004E2C99"/>
    <w:rsid w:val="004E32A4"/>
    <w:rsid w:val="004E3308"/>
    <w:rsid w:val="004E6C64"/>
    <w:rsid w:val="004E6D08"/>
    <w:rsid w:val="004F104A"/>
    <w:rsid w:val="004F49C2"/>
    <w:rsid w:val="00500451"/>
    <w:rsid w:val="005016C3"/>
    <w:rsid w:val="00502B9C"/>
    <w:rsid w:val="00507AE8"/>
    <w:rsid w:val="005100CB"/>
    <w:rsid w:val="005104CC"/>
    <w:rsid w:val="00512A0D"/>
    <w:rsid w:val="00516F93"/>
    <w:rsid w:val="005262FA"/>
    <w:rsid w:val="005300A3"/>
    <w:rsid w:val="00531DEA"/>
    <w:rsid w:val="00533EB3"/>
    <w:rsid w:val="0053788A"/>
    <w:rsid w:val="00540C9A"/>
    <w:rsid w:val="0054153C"/>
    <w:rsid w:val="00544B35"/>
    <w:rsid w:val="005456FD"/>
    <w:rsid w:val="0055065F"/>
    <w:rsid w:val="0055242E"/>
    <w:rsid w:val="00562892"/>
    <w:rsid w:val="005639E5"/>
    <w:rsid w:val="0056525C"/>
    <w:rsid w:val="005654B8"/>
    <w:rsid w:val="00566088"/>
    <w:rsid w:val="005676EB"/>
    <w:rsid w:val="005702FE"/>
    <w:rsid w:val="005740F9"/>
    <w:rsid w:val="00580745"/>
    <w:rsid w:val="00581357"/>
    <w:rsid w:val="00581B21"/>
    <w:rsid w:val="005901A6"/>
    <w:rsid w:val="0059234D"/>
    <w:rsid w:val="005927B6"/>
    <w:rsid w:val="0059623E"/>
    <w:rsid w:val="00596362"/>
    <w:rsid w:val="00597234"/>
    <w:rsid w:val="005A20AA"/>
    <w:rsid w:val="005A2F38"/>
    <w:rsid w:val="005A4920"/>
    <w:rsid w:val="005A5D48"/>
    <w:rsid w:val="005A64E4"/>
    <w:rsid w:val="005A767B"/>
    <w:rsid w:val="005B1275"/>
    <w:rsid w:val="005B3B5E"/>
    <w:rsid w:val="005B6E74"/>
    <w:rsid w:val="005C56D8"/>
    <w:rsid w:val="005C603B"/>
    <w:rsid w:val="005D0028"/>
    <w:rsid w:val="005D005E"/>
    <w:rsid w:val="005D14B8"/>
    <w:rsid w:val="005D2048"/>
    <w:rsid w:val="005D391E"/>
    <w:rsid w:val="005D5D38"/>
    <w:rsid w:val="005D6706"/>
    <w:rsid w:val="005E3E20"/>
    <w:rsid w:val="005E5C6A"/>
    <w:rsid w:val="005E6894"/>
    <w:rsid w:val="005F27BA"/>
    <w:rsid w:val="005F6A77"/>
    <w:rsid w:val="006000AE"/>
    <w:rsid w:val="006017D5"/>
    <w:rsid w:val="006025AB"/>
    <w:rsid w:val="00612F69"/>
    <w:rsid w:val="006141DF"/>
    <w:rsid w:val="006178B3"/>
    <w:rsid w:val="006179EC"/>
    <w:rsid w:val="00623205"/>
    <w:rsid w:val="00627B1B"/>
    <w:rsid w:val="0063055C"/>
    <w:rsid w:val="00633829"/>
    <w:rsid w:val="00635217"/>
    <w:rsid w:val="00636894"/>
    <w:rsid w:val="00637770"/>
    <w:rsid w:val="00642186"/>
    <w:rsid w:val="006472DA"/>
    <w:rsid w:val="0065013B"/>
    <w:rsid w:val="006526BE"/>
    <w:rsid w:val="006543B1"/>
    <w:rsid w:val="00655843"/>
    <w:rsid w:val="006566AD"/>
    <w:rsid w:val="006575E2"/>
    <w:rsid w:val="00661852"/>
    <w:rsid w:val="00661E97"/>
    <w:rsid w:val="00662C08"/>
    <w:rsid w:val="00662D04"/>
    <w:rsid w:val="00664EC4"/>
    <w:rsid w:val="0066593B"/>
    <w:rsid w:val="006677A8"/>
    <w:rsid w:val="00673F04"/>
    <w:rsid w:val="00674988"/>
    <w:rsid w:val="00677C19"/>
    <w:rsid w:val="00682CC2"/>
    <w:rsid w:val="00683787"/>
    <w:rsid w:val="00690908"/>
    <w:rsid w:val="006A068B"/>
    <w:rsid w:val="006A19A0"/>
    <w:rsid w:val="006A2612"/>
    <w:rsid w:val="006A7845"/>
    <w:rsid w:val="006B236F"/>
    <w:rsid w:val="006B39F9"/>
    <w:rsid w:val="006B7843"/>
    <w:rsid w:val="006C1278"/>
    <w:rsid w:val="006C256D"/>
    <w:rsid w:val="006C45BC"/>
    <w:rsid w:val="006C6D47"/>
    <w:rsid w:val="006D0C6F"/>
    <w:rsid w:val="006D0DF1"/>
    <w:rsid w:val="006D2B82"/>
    <w:rsid w:val="006D4172"/>
    <w:rsid w:val="006E0402"/>
    <w:rsid w:val="006E1B6C"/>
    <w:rsid w:val="006E499F"/>
    <w:rsid w:val="006E4FA2"/>
    <w:rsid w:val="006E6694"/>
    <w:rsid w:val="006E6892"/>
    <w:rsid w:val="006F0C8C"/>
    <w:rsid w:val="006F1538"/>
    <w:rsid w:val="006F30AA"/>
    <w:rsid w:val="006F4E56"/>
    <w:rsid w:val="006F5A45"/>
    <w:rsid w:val="007015BB"/>
    <w:rsid w:val="00704B82"/>
    <w:rsid w:val="007067D6"/>
    <w:rsid w:val="00711768"/>
    <w:rsid w:val="00714345"/>
    <w:rsid w:val="00715D96"/>
    <w:rsid w:val="00722AF4"/>
    <w:rsid w:val="007246DB"/>
    <w:rsid w:val="00724A6B"/>
    <w:rsid w:val="00724DB8"/>
    <w:rsid w:val="00725DB9"/>
    <w:rsid w:val="00726962"/>
    <w:rsid w:val="00727F7E"/>
    <w:rsid w:val="00735EA5"/>
    <w:rsid w:val="007369FD"/>
    <w:rsid w:val="00740F5A"/>
    <w:rsid w:val="00742ABA"/>
    <w:rsid w:val="00745851"/>
    <w:rsid w:val="00745ADC"/>
    <w:rsid w:val="00745CB6"/>
    <w:rsid w:val="00746DB5"/>
    <w:rsid w:val="00747A64"/>
    <w:rsid w:val="00751560"/>
    <w:rsid w:val="007520C6"/>
    <w:rsid w:val="00752BB9"/>
    <w:rsid w:val="00757A55"/>
    <w:rsid w:val="00761EDF"/>
    <w:rsid w:val="0076246B"/>
    <w:rsid w:val="00765B25"/>
    <w:rsid w:val="00770132"/>
    <w:rsid w:val="0077044C"/>
    <w:rsid w:val="00773026"/>
    <w:rsid w:val="00774027"/>
    <w:rsid w:val="00776DF8"/>
    <w:rsid w:val="00780B31"/>
    <w:rsid w:val="00781E7E"/>
    <w:rsid w:val="00782F5A"/>
    <w:rsid w:val="007907A0"/>
    <w:rsid w:val="007926E4"/>
    <w:rsid w:val="007928ED"/>
    <w:rsid w:val="00796A13"/>
    <w:rsid w:val="007A2DF2"/>
    <w:rsid w:val="007A3388"/>
    <w:rsid w:val="007A6BF5"/>
    <w:rsid w:val="007B1D5C"/>
    <w:rsid w:val="007B310D"/>
    <w:rsid w:val="007B57BF"/>
    <w:rsid w:val="007B7DE5"/>
    <w:rsid w:val="007C1651"/>
    <w:rsid w:val="007C4F06"/>
    <w:rsid w:val="007C5EB5"/>
    <w:rsid w:val="007D0D5D"/>
    <w:rsid w:val="007D1822"/>
    <w:rsid w:val="007D2D1B"/>
    <w:rsid w:val="007D2D2C"/>
    <w:rsid w:val="007E7726"/>
    <w:rsid w:val="00800342"/>
    <w:rsid w:val="00800C40"/>
    <w:rsid w:val="00800F88"/>
    <w:rsid w:val="00812BE7"/>
    <w:rsid w:val="00812F6A"/>
    <w:rsid w:val="008132BF"/>
    <w:rsid w:val="0081406E"/>
    <w:rsid w:val="00817D27"/>
    <w:rsid w:val="00817E6D"/>
    <w:rsid w:val="00820887"/>
    <w:rsid w:val="0082256C"/>
    <w:rsid w:val="00822C9D"/>
    <w:rsid w:val="0082321A"/>
    <w:rsid w:val="00823ABF"/>
    <w:rsid w:val="008257C7"/>
    <w:rsid w:val="00826055"/>
    <w:rsid w:val="008300C0"/>
    <w:rsid w:val="00830B2D"/>
    <w:rsid w:val="00832B97"/>
    <w:rsid w:val="00833855"/>
    <w:rsid w:val="00833D58"/>
    <w:rsid w:val="008345B6"/>
    <w:rsid w:val="00834A2E"/>
    <w:rsid w:val="0083576E"/>
    <w:rsid w:val="00835A20"/>
    <w:rsid w:val="008409C2"/>
    <w:rsid w:val="008421CA"/>
    <w:rsid w:val="00842A26"/>
    <w:rsid w:val="008438D7"/>
    <w:rsid w:val="00845982"/>
    <w:rsid w:val="00846698"/>
    <w:rsid w:val="00847463"/>
    <w:rsid w:val="0085041B"/>
    <w:rsid w:val="00850EDE"/>
    <w:rsid w:val="0085144C"/>
    <w:rsid w:val="00853B77"/>
    <w:rsid w:val="00857CFB"/>
    <w:rsid w:val="008632F6"/>
    <w:rsid w:val="00865910"/>
    <w:rsid w:val="00866EB4"/>
    <w:rsid w:val="00872A25"/>
    <w:rsid w:val="008748C0"/>
    <w:rsid w:val="0087665A"/>
    <w:rsid w:val="00877E90"/>
    <w:rsid w:val="0088080F"/>
    <w:rsid w:val="00882A0C"/>
    <w:rsid w:val="00883D7F"/>
    <w:rsid w:val="00884C13"/>
    <w:rsid w:val="00891E44"/>
    <w:rsid w:val="00892136"/>
    <w:rsid w:val="008931E2"/>
    <w:rsid w:val="008A2C26"/>
    <w:rsid w:val="008B04ED"/>
    <w:rsid w:val="008B21A9"/>
    <w:rsid w:val="008B53EF"/>
    <w:rsid w:val="008C05F1"/>
    <w:rsid w:val="008C1F5E"/>
    <w:rsid w:val="008C3043"/>
    <w:rsid w:val="008C58F3"/>
    <w:rsid w:val="008C5DFE"/>
    <w:rsid w:val="008E05E7"/>
    <w:rsid w:val="008E0D9E"/>
    <w:rsid w:val="008E2164"/>
    <w:rsid w:val="008E6F0B"/>
    <w:rsid w:val="008E7031"/>
    <w:rsid w:val="008F30A8"/>
    <w:rsid w:val="008F48FE"/>
    <w:rsid w:val="0090450C"/>
    <w:rsid w:val="00913017"/>
    <w:rsid w:val="0091754D"/>
    <w:rsid w:val="00920407"/>
    <w:rsid w:val="00920B18"/>
    <w:rsid w:val="00920C12"/>
    <w:rsid w:val="00922010"/>
    <w:rsid w:val="009222B7"/>
    <w:rsid w:val="0092305A"/>
    <w:rsid w:val="00930516"/>
    <w:rsid w:val="00934311"/>
    <w:rsid w:val="00944496"/>
    <w:rsid w:val="00945C6E"/>
    <w:rsid w:val="00946BD6"/>
    <w:rsid w:val="00952A41"/>
    <w:rsid w:val="009553D0"/>
    <w:rsid w:val="0095647C"/>
    <w:rsid w:val="00956D28"/>
    <w:rsid w:val="009577EE"/>
    <w:rsid w:val="00960AE4"/>
    <w:rsid w:val="00962129"/>
    <w:rsid w:val="00962BA9"/>
    <w:rsid w:val="00966B54"/>
    <w:rsid w:val="00973C50"/>
    <w:rsid w:val="0097595B"/>
    <w:rsid w:val="00975C44"/>
    <w:rsid w:val="00976CDC"/>
    <w:rsid w:val="009818BF"/>
    <w:rsid w:val="00982767"/>
    <w:rsid w:val="0099058A"/>
    <w:rsid w:val="00991E7C"/>
    <w:rsid w:val="00993BD2"/>
    <w:rsid w:val="00993E5D"/>
    <w:rsid w:val="00996991"/>
    <w:rsid w:val="00996CF9"/>
    <w:rsid w:val="00997559"/>
    <w:rsid w:val="009979E5"/>
    <w:rsid w:val="009A04A0"/>
    <w:rsid w:val="009A61B4"/>
    <w:rsid w:val="009B1A39"/>
    <w:rsid w:val="009C0F4D"/>
    <w:rsid w:val="009C27A3"/>
    <w:rsid w:val="009C3361"/>
    <w:rsid w:val="009C3BB4"/>
    <w:rsid w:val="009C6F72"/>
    <w:rsid w:val="009C6F87"/>
    <w:rsid w:val="009D082C"/>
    <w:rsid w:val="009D2C65"/>
    <w:rsid w:val="009D2D68"/>
    <w:rsid w:val="009D5A0E"/>
    <w:rsid w:val="009D6A33"/>
    <w:rsid w:val="009E3F3E"/>
    <w:rsid w:val="009E48B6"/>
    <w:rsid w:val="009E62AE"/>
    <w:rsid w:val="009E64A3"/>
    <w:rsid w:val="009E654B"/>
    <w:rsid w:val="009F4D11"/>
    <w:rsid w:val="009F4FD6"/>
    <w:rsid w:val="009F550B"/>
    <w:rsid w:val="00A01B17"/>
    <w:rsid w:val="00A03648"/>
    <w:rsid w:val="00A069CE"/>
    <w:rsid w:val="00A124EC"/>
    <w:rsid w:val="00A20D57"/>
    <w:rsid w:val="00A21D0C"/>
    <w:rsid w:val="00A243EC"/>
    <w:rsid w:val="00A254DC"/>
    <w:rsid w:val="00A300F5"/>
    <w:rsid w:val="00A325F4"/>
    <w:rsid w:val="00A36D67"/>
    <w:rsid w:val="00A41567"/>
    <w:rsid w:val="00A44AF9"/>
    <w:rsid w:val="00A469B9"/>
    <w:rsid w:val="00A46BB5"/>
    <w:rsid w:val="00A51F73"/>
    <w:rsid w:val="00A55BA8"/>
    <w:rsid w:val="00A60C2E"/>
    <w:rsid w:val="00A63E8B"/>
    <w:rsid w:val="00A6640F"/>
    <w:rsid w:val="00A70938"/>
    <w:rsid w:val="00A718FB"/>
    <w:rsid w:val="00A71D53"/>
    <w:rsid w:val="00A72A4D"/>
    <w:rsid w:val="00A72F19"/>
    <w:rsid w:val="00A75229"/>
    <w:rsid w:val="00A76300"/>
    <w:rsid w:val="00A77C82"/>
    <w:rsid w:val="00A81011"/>
    <w:rsid w:val="00A82B1C"/>
    <w:rsid w:val="00A82FF4"/>
    <w:rsid w:val="00A8327A"/>
    <w:rsid w:val="00A86AD9"/>
    <w:rsid w:val="00A87AE5"/>
    <w:rsid w:val="00A925EE"/>
    <w:rsid w:val="00A9416D"/>
    <w:rsid w:val="00A94374"/>
    <w:rsid w:val="00A94DD3"/>
    <w:rsid w:val="00AA15A3"/>
    <w:rsid w:val="00AA2ABC"/>
    <w:rsid w:val="00AA6A3B"/>
    <w:rsid w:val="00AA7E2A"/>
    <w:rsid w:val="00AB5FD3"/>
    <w:rsid w:val="00AB78A5"/>
    <w:rsid w:val="00AC05A5"/>
    <w:rsid w:val="00AC05D3"/>
    <w:rsid w:val="00AC4C2C"/>
    <w:rsid w:val="00AD20EA"/>
    <w:rsid w:val="00AD49D6"/>
    <w:rsid w:val="00AD6E8D"/>
    <w:rsid w:val="00AE246F"/>
    <w:rsid w:val="00AE3F3C"/>
    <w:rsid w:val="00AF0811"/>
    <w:rsid w:val="00AF56B0"/>
    <w:rsid w:val="00AF683B"/>
    <w:rsid w:val="00AF6956"/>
    <w:rsid w:val="00AF7D87"/>
    <w:rsid w:val="00B07219"/>
    <w:rsid w:val="00B10D69"/>
    <w:rsid w:val="00B10FC7"/>
    <w:rsid w:val="00B12400"/>
    <w:rsid w:val="00B15C9C"/>
    <w:rsid w:val="00B17616"/>
    <w:rsid w:val="00B177C5"/>
    <w:rsid w:val="00B17F39"/>
    <w:rsid w:val="00B17F57"/>
    <w:rsid w:val="00B20BB3"/>
    <w:rsid w:val="00B239E7"/>
    <w:rsid w:val="00B2481D"/>
    <w:rsid w:val="00B32F0F"/>
    <w:rsid w:val="00B34D46"/>
    <w:rsid w:val="00B3515C"/>
    <w:rsid w:val="00B351A3"/>
    <w:rsid w:val="00B40A3B"/>
    <w:rsid w:val="00B423DC"/>
    <w:rsid w:val="00B434F4"/>
    <w:rsid w:val="00B45532"/>
    <w:rsid w:val="00B5218E"/>
    <w:rsid w:val="00B56CA9"/>
    <w:rsid w:val="00B60538"/>
    <w:rsid w:val="00B67066"/>
    <w:rsid w:val="00B7320B"/>
    <w:rsid w:val="00B74F9C"/>
    <w:rsid w:val="00B81101"/>
    <w:rsid w:val="00B8427E"/>
    <w:rsid w:val="00B852A6"/>
    <w:rsid w:val="00B86DDA"/>
    <w:rsid w:val="00B9087A"/>
    <w:rsid w:val="00B91126"/>
    <w:rsid w:val="00B91AA5"/>
    <w:rsid w:val="00B91EB6"/>
    <w:rsid w:val="00B92C7A"/>
    <w:rsid w:val="00B96BB0"/>
    <w:rsid w:val="00B97187"/>
    <w:rsid w:val="00BA3922"/>
    <w:rsid w:val="00BA4833"/>
    <w:rsid w:val="00BB3681"/>
    <w:rsid w:val="00BB4739"/>
    <w:rsid w:val="00BB5159"/>
    <w:rsid w:val="00BC3CA1"/>
    <w:rsid w:val="00BC4AC6"/>
    <w:rsid w:val="00BC51FF"/>
    <w:rsid w:val="00BD1F46"/>
    <w:rsid w:val="00BD247A"/>
    <w:rsid w:val="00BD5AE3"/>
    <w:rsid w:val="00BD6400"/>
    <w:rsid w:val="00BE0EFC"/>
    <w:rsid w:val="00BE44E3"/>
    <w:rsid w:val="00BE4501"/>
    <w:rsid w:val="00BE78FC"/>
    <w:rsid w:val="00BF2F8A"/>
    <w:rsid w:val="00BF74E7"/>
    <w:rsid w:val="00C00937"/>
    <w:rsid w:val="00C0138F"/>
    <w:rsid w:val="00C03A31"/>
    <w:rsid w:val="00C07D3A"/>
    <w:rsid w:val="00C214F6"/>
    <w:rsid w:val="00C24850"/>
    <w:rsid w:val="00C2786D"/>
    <w:rsid w:val="00C31768"/>
    <w:rsid w:val="00C32013"/>
    <w:rsid w:val="00C3395F"/>
    <w:rsid w:val="00C34CA3"/>
    <w:rsid w:val="00C3593D"/>
    <w:rsid w:val="00C359A7"/>
    <w:rsid w:val="00C424D8"/>
    <w:rsid w:val="00C459A0"/>
    <w:rsid w:val="00C47542"/>
    <w:rsid w:val="00C51A0F"/>
    <w:rsid w:val="00C523FB"/>
    <w:rsid w:val="00C52DD7"/>
    <w:rsid w:val="00C535F4"/>
    <w:rsid w:val="00C57FBA"/>
    <w:rsid w:val="00C63453"/>
    <w:rsid w:val="00C64431"/>
    <w:rsid w:val="00C668F8"/>
    <w:rsid w:val="00C7226C"/>
    <w:rsid w:val="00C807CC"/>
    <w:rsid w:val="00C82DB2"/>
    <w:rsid w:val="00C845FB"/>
    <w:rsid w:val="00C85B40"/>
    <w:rsid w:val="00C8738F"/>
    <w:rsid w:val="00CA164E"/>
    <w:rsid w:val="00CA1936"/>
    <w:rsid w:val="00CA210A"/>
    <w:rsid w:val="00CA24BC"/>
    <w:rsid w:val="00CA3B77"/>
    <w:rsid w:val="00CA5D30"/>
    <w:rsid w:val="00CA5DB9"/>
    <w:rsid w:val="00CA6244"/>
    <w:rsid w:val="00CB2D14"/>
    <w:rsid w:val="00CB7CDA"/>
    <w:rsid w:val="00CC2BF5"/>
    <w:rsid w:val="00CC372A"/>
    <w:rsid w:val="00CC38C8"/>
    <w:rsid w:val="00CC405E"/>
    <w:rsid w:val="00CD67F3"/>
    <w:rsid w:val="00CD681D"/>
    <w:rsid w:val="00CD7F80"/>
    <w:rsid w:val="00CE38C3"/>
    <w:rsid w:val="00CE549C"/>
    <w:rsid w:val="00CF3B38"/>
    <w:rsid w:val="00CF77EC"/>
    <w:rsid w:val="00CF7E55"/>
    <w:rsid w:val="00D007D9"/>
    <w:rsid w:val="00D03AB4"/>
    <w:rsid w:val="00D0457F"/>
    <w:rsid w:val="00D0596D"/>
    <w:rsid w:val="00D05D8C"/>
    <w:rsid w:val="00D1031B"/>
    <w:rsid w:val="00D105EA"/>
    <w:rsid w:val="00D10715"/>
    <w:rsid w:val="00D10EB0"/>
    <w:rsid w:val="00D11E64"/>
    <w:rsid w:val="00D143B1"/>
    <w:rsid w:val="00D17E68"/>
    <w:rsid w:val="00D2262B"/>
    <w:rsid w:val="00D24D3D"/>
    <w:rsid w:val="00D2521C"/>
    <w:rsid w:val="00D315D9"/>
    <w:rsid w:val="00D357F3"/>
    <w:rsid w:val="00D365F3"/>
    <w:rsid w:val="00D41A84"/>
    <w:rsid w:val="00D528EF"/>
    <w:rsid w:val="00D5678E"/>
    <w:rsid w:val="00D57718"/>
    <w:rsid w:val="00D60893"/>
    <w:rsid w:val="00D62124"/>
    <w:rsid w:val="00D649ED"/>
    <w:rsid w:val="00D6532A"/>
    <w:rsid w:val="00D675F4"/>
    <w:rsid w:val="00D67CB8"/>
    <w:rsid w:val="00D70B6B"/>
    <w:rsid w:val="00D740A9"/>
    <w:rsid w:val="00D74959"/>
    <w:rsid w:val="00D74E9C"/>
    <w:rsid w:val="00D808A6"/>
    <w:rsid w:val="00D87FB8"/>
    <w:rsid w:val="00D91294"/>
    <w:rsid w:val="00D94232"/>
    <w:rsid w:val="00D947A8"/>
    <w:rsid w:val="00D964C9"/>
    <w:rsid w:val="00D97235"/>
    <w:rsid w:val="00D973BA"/>
    <w:rsid w:val="00DA0E81"/>
    <w:rsid w:val="00DA3529"/>
    <w:rsid w:val="00DA4DDE"/>
    <w:rsid w:val="00DB0E26"/>
    <w:rsid w:val="00DB4AF0"/>
    <w:rsid w:val="00DB538D"/>
    <w:rsid w:val="00DB5FFF"/>
    <w:rsid w:val="00DB7F53"/>
    <w:rsid w:val="00DC08E1"/>
    <w:rsid w:val="00DD0BE1"/>
    <w:rsid w:val="00DD103D"/>
    <w:rsid w:val="00DD34A2"/>
    <w:rsid w:val="00DD6493"/>
    <w:rsid w:val="00DE3508"/>
    <w:rsid w:val="00DE460D"/>
    <w:rsid w:val="00DE7B20"/>
    <w:rsid w:val="00DF169A"/>
    <w:rsid w:val="00DF3D51"/>
    <w:rsid w:val="00DF7105"/>
    <w:rsid w:val="00E02457"/>
    <w:rsid w:val="00E03E25"/>
    <w:rsid w:val="00E07204"/>
    <w:rsid w:val="00E111C6"/>
    <w:rsid w:val="00E11234"/>
    <w:rsid w:val="00E118F3"/>
    <w:rsid w:val="00E12429"/>
    <w:rsid w:val="00E1497C"/>
    <w:rsid w:val="00E1623D"/>
    <w:rsid w:val="00E16E11"/>
    <w:rsid w:val="00E2220A"/>
    <w:rsid w:val="00E2345F"/>
    <w:rsid w:val="00E23D4C"/>
    <w:rsid w:val="00E24735"/>
    <w:rsid w:val="00E25475"/>
    <w:rsid w:val="00E26239"/>
    <w:rsid w:val="00E26A36"/>
    <w:rsid w:val="00E2753E"/>
    <w:rsid w:val="00E30324"/>
    <w:rsid w:val="00E33C10"/>
    <w:rsid w:val="00E42465"/>
    <w:rsid w:val="00E42EA2"/>
    <w:rsid w:val="00E42FE7"/>
    <w:rsid w:val="00E4375B"/>
    <w:rsid w:val="00E43AC7"/>
    <w:rsid w:val="00E502B6"/>
    <w:rsid w:val="00E50F58"/>
    <w:rsid w:val="00E57019"/>
    <w:rsid w:val="00E626B5"/>
    <w:rsid w:val="00E63442"/>
    <w:rsid w:val="00E6390C"/>
    <w:rsid w:val="00E655F3"/>
    <w:rsid w:val="00E66106"/>
    <w:rsid w:val="00E6706F"/>
    <w:rsid w:val="00E71695"/>
    <w:rsid w:val="00E72C7F"/>
    <w:rsid w:val="00E73644"/>
    <w:rsid w:val="00E73D4D"/>
    <w:rsid w:val="00E832D2"/>
    <w:rsid w:val="00E841E6"/>
    <w:rsid w:val="00E84538"/>
    <w:rsid w:val="00E85EC6"/>
    <w:rsid w:val="00E87FC8"/>
    <w:rsid w:val="00E90311"/>
    <w:rsid w:val="00E9058C"/>
    <w:rsid w:val="00E96003"/>
    <w:rsid w:val="00EA0D2A"/>
    <w:rsid w:val="00EA39BF"/>
    <w:rsid w:val="00EA4818"/>
    <w:rsid w:val="00EA66EE"/>
    <w:rsid w:val="00EA6C55"/>
    <w:rsid w:val="00EA7232"/>
    <w:rsid w:val="00EB1C1D"/>
    <w:rsid w:val="00EB584B"/>
    <w:rsid w:val="00EC5C77"/>
    <w:rsid w:val="00EC7753"/>
    <w:rsid w:val="00ED18F9"/>
    <w:rsid w:val="00ED4E63"/>
    <w:rsid w:val="00ED6811"/>
    <w:rsid w:val="00ED7F5F"/>
    <w:rsid w:val="00EE3682"/>
    <w:rsid w:val="00EE42E0"/>
    <w:rsid w:val="00EE6DA6"/>
    <w:rsid w:val="00EE7FD5"/>
    <w:rsid w:val="00EF0C38"/>
    <w:rsid w:val="00EF0C7B"/>
    <w:rsid w:val="00EF21C0"/>
    <w:rsid w:val="00EF2A02"/>
    <w:rsid w:val="00EF4434"/>
    <w:rsid w:val="00EF499F"/>
    <w:rsid w:val="00F011EA"/>
    <w:rsid w:val="00F01AAB"/>
    <w:rsid w:val="00F10A59"/>
    <w:rsid w:val="00F14FC3"/>
    <w:rsid w:val="00F24422"/>
    <w:rsid w:val="00F24999"/>
    <w:rsid w:val="00F24FB0"/>
    <w:rsid w:val="00F250F9"/>
    <w:rsid w:val="00F26FDC"/>
    <w:rsid w:val="00F3330B"/>
    <w:rsid w:val="00F338E0"/>
    <w:rsid w:val="00F33B9E"/>
    <w:rsid w:val="00F341F5"/>
    <w:rsid w:val="00F360D5"/>
    <w:rsid w:val="00F3775A"/>
    <w:rsid w:val="00F400E9"/>
    <w:rsid w:val="00F43703"/>
    <w:rsid w:val="00F43FDB"/>
    <w:rsid w:val="00F504CC"/>
    <w:rsid w:val="00F55F9B"/>
    <w:rsid w:val="00F57E91"/>
    <w:rsid w:val="00F62A02"/>
    <w:rsid w:val="00F639B8"/>
    <w:rsid w:val="00F67AE1"/>
    <w:rsid w:val="00F70506"/>
    <w:rsid w:val="00F73EEF"/>
    <w:rsid w:val="00F755C9"/>
    <w:rsid w:val="00F82645"/>
    <w:rsid w:val="00F94648"/>
    <w:rsid w:val="00F9513D"/>
    <w:rsid w:val="00F958B2"/>
    <w:rsid w:val="00F9675F"/>
    <w:rsid w:val="00F96B25"/>
    <w:rsid w:val="00FA13A1"/>
    <w:rsid w:val="00FA2727"/>
    <w:rsid w:val="00FB3A3F"/>
    <w:rsid w:val="00FB58FA"/>
    <w:rsid w:val="00FB7F23"/>
    <w:rsid w:val="00FC5121"/>
    <w:rsid w:val="00FC5357"/>
    <w:rsid w:val="00FC6725"/>
    <w:rsid w:val="00FC6D84"/>
    <w:rsid w:val="00FC7A3B"/>
    <w:rsid w:val="00FD0895"/>
    <w:rsid w:val="00FD151D"/>
    <w:rsid w:val="00FD396A"/>
    <w:rsid w:val="00FD5EA5"/>
    <w:rsid w:val="00FD69D1"/>
    <w:rsid w:val="00FD7B8C"/>
    <w:rsid w:val="00FE523B"/>
    <w:rsid w:val="00FE7601"/>
    <w:rsid w:val="00FF142B"/>
    <w:rsid w:val="00FF5E4B"/>
    <w:rsid w:val="7F895E55"/>
    <w:rsid w:val="FFDFF69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nhideWhenUsed="0" w:uiPriority="0" w:semiHidden="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uiPriority="0" w:name="toc 1"/>
    <w:lsdException w:uiPriority="0" w:name="toc 2"/>
    <w:lsdException w:uiPriority="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unhideWhenUsed="0" w:uiPriority="0" w:semiHidden="0" w:name="annotation text"/>
    <w:lsdException w:unhideWhenUsed="0" w:uiPriority="0" w:semiHidden="0" w:name="header"/>
    <w:lsdException w:unhideWhenUsed="0"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unhideWhenUsed="0" w:uiPriority="0" w:semiHidden="0" w:name="annotation reference"/>
    <w:lsdException w:uiPriority="0" w:name="line number"/>
    <w:lsdException w:unhideWhenUsed="0" w:uiPriority="0" w:semiHidden="0" w:name="page number"/>
    <w:lsdException w:uiPriority="0" w:name="endnote reference"/>
    <w:lsdException w:uiPriority="0" w:name="endnote text"/>
    <w:lsdException w:uiPriority="0" w:name="table of authorities"/>
    <w:lsdException w:uiPriority="0" w:name="macro"/>
    <w:lsdException w:uiPriority="0" w:name="toa heading"/>
    <w:lsdException w:uiPriority="0" w:name="List"/>
    <w:lsdException w:uiPriority="0" w:name="List Bullet"/>
    <w:lsdException w:unhideWhenUsed="0" w:uiPriority="0" w:semiHidden="0" w:name="List Number"/>
    <w:lsdException w:uiPriority="0" w:name="List 2"/>
    <w:lsdException w:uiPriority="0" w:name="List 3"/>
    <w:lsdException w:unhideWhenUsed="0" w:uiPriority="0" w:semiHidden="0" w:name="List 4"/>
    <w:lsdException w:unhideWhenUsed="0" w:uiPriority="0" w:semiHidden="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uiPriority="1" w:name="Default Paragraph Font"/>
    <w:lsdException w:unhideWhenUsed="0" w:uiPriority="0" w:semiHidden="0" w:name="Body Text"/>
    <w:lsdException w:unhideWhenUsed="0" w:uiPriority="0" w:semiHidden="0" w:name="Body Text Indent"/>
    <w:lsdException w:uiPriority="0" w:name="List Continue"/>
    <w:lsdException w:uiPriority="0" w:name="List Continue 2"/>
    <w:lsdException w:uiPriority="0" w:name="List Continue 3"/>
    <w:lsdException w:uiPriority="0" w:name="List Continue 4"/>
    <w:lsdException w:uiPriority="0" w:name="List Continue 5"/>
    <w:lsdException w:uiPriority="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uiPriority="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qFormat/>
    <w:uiPriority w:val="0"/>
    <w:pPr>
      <w:keepNext/>
      <w:outlineLvl w:val="0"/>
    </w:pPr>
    <w:rPr>
      <w:b/>
      <w:bCs/>
      <w:sz w:val="24"/>
    </w:rPr>
  </w:style>
  <w:style w:type="paragraph" w:styleId="3">
    <w:name w:val="heading 2"/>
    <w:basedOn w:val="1"/>
    <w:next w:val="1"/>
    <w:qFormat/>
    <w:uiPriority w:val="0"/>
    <w:pPr>
      <w:keepNext/>
      <w:spacing w:line="0" w:lineRule="atLeast"/>
      <w:ind w:left="-722" w:leftChars="-344"/>
      <w:jc w:val="center"/>
      <w:outlineLvl w:val="1"/>
    </w:pPr>
    <w:rPr>
      <w:rFonts w:ascii="Arial" w:hAnsi="Arial" w:cs="Arial"/>
      <w:b/>
      <w:bCs/>
      <w:sz w:val="24"/>
    </w:rPr>
  </w:style>
  <w:style w:type="paragraph" w:styleId="4">
    <w:name w:val="heading 3"/>
    <w:basedOn w:val="1"/>
    <w:next w:val="1"/>
    <w:qFormat/>
    <w:uiPriority w:val="0"/>
    <w:pPr>
      <w:keepNext/>
      <w:outlineLvl w:val="2"/>
    </w:pPr>
    <w:rPr>
      <w:b/>
      <w:bCs/>
      <w:sz w:val="18"/>
    </w:rPr>
  </w:style>
  <w:style w:type="paragraph" w:styleId="5">
    <w:name w:val="heading 4"/>
    <w:basedOn w:val="1"/>
    <w:next w:val="1"/>
    <w:qFormat/>
    <w:uiPriority w:val="0"/>
    <w:pPr>
      <w:keepNext/>
      <w:spacing w:line="0" w:lineRule="atLeast"/>
      <w:ind w:left="-1"/>
      <w:jc w:val="center"/>
      <w:outlineLvl w:val="3"/>
    </w:pPr>
    <w:rPr>
      <w:rFonts w:ascii="Arial" w:hAnsi="Arial" w:cs="Arial"/>
      <w:b/>
      <w:bCs/>
      <w:sz w:val="24"/>
    </w:rPr>
  </w:style>
  <w:style w:type="paragraph" w:styleId="6">
    <w:name w:val="heading 5"/>
    <w:basedOn w:val="1"/>
    <w:next w:val="1"/>
    <w:qFormat/>
    <w:uiPriority w:val="0"/>
    <w:pPr>
      <w:keepNext/>
      <w:jc w:val="center"/>
      <w:outlineLvl w:val="4"/>
    </w:pPr>
    <w:rPr>
      <w:b/>
      <w:bCs/>
      <w:sz w:val="24"/>
    </w:rPr>
  </w:style>
  <w:style w:type="paragraph" w:styleId="7">
    <w:name w:val="heading 8"/>
    <w:basedOn w:val="1"/>
    <w:next w:val="1"/>
    <w:qFormat/>
    <w:uiPriority w:val="0"/>
    <w:pPr>
      <w:keepNext/>
      <w:ind w:left="147" w:leftChars="70" w:right="-874" w:rightChars="-416"/>
      <w:outlineLvl w:val="7"/>
    </w:pPr>
    <w:rPr>
      <w:b/>
      <w:bCs/>
      <w:sz w:val="24"/>
    </w:rPr>
  </w:style>
  <w:style w:type="character" w:default="1" w:styleId="16">
    <w:name w:val="Default Paragraph Font"/>
    <w:semiHidden/>
    <w:unhideWhenUsed/>
    <w:uiPriority w:val="1"/>
  </w:style>
  <w:style w:type="table" w:default="1" w:styleId="15">
    <w:name w:val="Normal Table"/>
    <w:semiHidden/>
    <w:unhideWhenUsed/>
    <w:uiPriority w:val="99"/>
    <w:tblPr>
      <w:tblCellMar>
        <w:top w:w="0" w:type="dxa"/>
        <w:left w:w="108" w:type="dxa"/>
        <w:bottom w:w="0" w:type="dxa"/>
        <w:right w:w="108" w:type="dxa"/>
      </w:tblCellMar>
    </w:tblPr>
  </w:style>
  <w:style w:type="paragraph" w:styleId="8">
    <w:name w:val="annotation text"/>
    <w:basedOn w:val="1"/>
    <w:link w:val="21"/>
    <w:uiPriority w:val="0"/>
    <w:pPr>
      <w:jc w:val="left"/>
    </w:pPr>
  </w:style>
  <w:style w:type="paragraph" w:styleId="9">
    <w:name w:val="Body Text"/>
    <w:basedOn w:val="1"/>
    <w:uiPriority w:val="0"/>
    <w:rPr>
      <w:b/>
      <w:bCs/>
      <w:sz w:val="18"/>
    </w:rPr>
  </w:style>
  <w:style w:type="paragraph" w:styleId="10">
    <w:name w:val="Body Text Indent"/>
    <w:basedOn w:val="1"/>
    <w:uiPriority w:val="0"/>
    <w:pPr>
      <w:spacing w:line="0" w:lineRule="atLeast"/>
      <w:ind w:left="-722" w:leftChars="-344"/>
    </w:pPr>
    <w:rPr>
      <w:rFonts w:ascii="Arial" w:hAnsi="Arial" w:cs="Arial"/>
      <w:sz w:val="20"/>
    </w:rPr>
  </w:style>
  <w:style w:type="paragraph" w:styleId="11">
    <w:name w:val="Balloon Text"/>
    <w:basedOn w:val="1"/>
    <w:semiHidden/>
    <w:uiPriority w:val="0"/>
    <w:rPr>
      <w:sz w:val="18"/>
      <w:szCs w:val="18"/>
    </w:rPr>
  </w:style>
  <w:style w:type="paragraph" w:styleId="12">
    <w:name w:val="footer"/>
    <w:basedOn w:val="1"/>
    <w:link w:val="24"/>
    <w:uiPriority w:val="99"/>
    <w:pPr>
      <w:tabs>
        <w:tab w:val="center" w:pos="4153"/>
        <w:tab w:val="right" w:pos="8306"/>
      </w:tabs>
      <w:snapToGrid w:val="0"/>
      <w:jc w:val="left"/>
    </w:pPr>
    <w:rPr>
      <w:sz w:val="18"/>
      <w:szCs w:val="18"/>
    </w:rPr>
  </w:style>
  <w:style w:type="paragraph" w:styleId="13">
    <w:name w:val="header"/>
    <w:basedOn w:val="1"/>
    <w:link w:val="23"/>
    <w:uiPriority w:val="0"/>
    <w:pPr>
      <w:pBdr>
        <w:bottom w:val="single" w:color="auto" w:sz="6" w:space="1"/>
      </w:pBdr>
      <w:tabs>
        <w:tab w:val="center" w:pos="4153"/>
        <w:tab w:val="right" w:pos="8306"/>
      </w:tabs>
      <w:snapToGrid w:val="0"/>
      <w:jc w:val="center"/>
    </w:pPr>
    <w:rPr>
      <w:sz w:val="18"/>
      <w:szCs w:val="18"/>
    </w:rPr>
  </w:style>
  <w:style w:type="paragraph" w:styleId="14">
    <w:name w:val="annotation subject"/>
    <w:basedOn w:val="8"/>
    <w:next w:val="8"/>
    <w:link w:val="20"/>
    <w:uiPriority w:val="0"/>
    <w:rPr>
      <w:b/>
      <w:bCs/>
    </w:rPr>
  </w:style>
  <w:style w:type="character" w:styleId="17">
    <w:name w:val="page number"/>
    <w:basedOn w:val="16"/>
    <w:uiPriority w:val="0"/>
  </w:style>
  <w:style w:type="character" w:styleId="18">
    <w:name w:val="Hyperlink"/>
    <w:basedOn w:val="16"/>
    <w:unhideWhenUsed/>
    <w:uiPriority w:val="99"/>
    <w:rPr>
      <w:color w:val="0563C1" w:themeColor="hyperlink"/>
      <w:u w:val="single"/>
      <w14:textFill>
        <w14:solidFill>
          <w14:schemeClr w14:val="hlink"/>
        </w14:solidFill>
      </w14:textFill>
    </w:rPr>
  </w:style>
  <w:style w:type="character" w:styleId="19">
    <w:name w:val="annotation reference"/>
    <w:basedOn w:val="16"/>
    <w:uiPriority w:val="0"/>
    <w:rPr>
      <w:sz w:val="21"/>
      <w:szCs w:val="21"/>
    </w:rPr>
  </w:style>
  <w:style w:type="character" w:customStyle="1" w:styleId="20">
    <w:name w:val="批注主题 字符"/>
    <w:basedOn w:val="21"/>
    <w:link w:val="14"/>
    <w:uiPriority w:val="0"/>
    <w:rPr>
      <w:b/>
      <w:bCs/>
      <w:kern w:val="2"/>
      <w:sz w:val="21"/>
      <w:szCs w:val="24"/>
    </w:rPr>
  </w:style>
  <w:style w:type="character" w:customStyle="1" w:styleId="21">
    <w:name w:val="批注文字 字符"/>
    <w:basedOn w:val="16"/>
    <w:link w:val="8"/>
    <w:uiPriority w:val="0"/>
    <w:rPr>
      <w:kern w:val="2"/>
      <w:sz w:val="21"/>
      <w:szCs w:val="24"/>
    </w:rPr>
  </w:style>
  <w:style w:type="paragraph" w:customStyle="1" w:styleId="22">
    <w:name w:val="Standard"/>
    <w:uiPriority w:val="0"/>
    <w:pPr>
      <w:widowControl w:val="0"/>
      <w:suppressAutoHyphens/>
      <w:autoSpaceDN w:val="0"/>
      <w:jc w:val="both"/>
      <w:textAlignment w:val="baseline"/>
    </w:pPr>
    <w:rPr>
      <w:rFonts w:ascii="Times New Roman" w:hAnsi="Times New Roman" w:eastAsia="宋体" w:cs="Times New Roman"/>
      <w:kern w:val="3"/>
      <w:sz w:val="21"/>
      <w:szCs w:val="24"/>
      <w:lang w:val="en-US" w:eastAsia="zh-CN" w:bidi="ar-SA"/>
    </w:rPr>
  </w:style>
  <w:style w:type="character" w:customStyle="1" w:styleId="23">
    <w:name w:val="页眉 字符"/>
    <w:basedOn w:val="16"/>
    <w:link w:val="13"/>
    <w:uiPriority w:val="0"/>
    <w:rPr>
      <w:kern w:val="2"/>
      <w:sz w:val="18"/>
      <w:szCs w:val="18"/>
    </w:rPr>
  </w:style>
  <w:style w:type="character" w:customStyle="1" w:styleId="24">
    <w:name w:val="页脚 字符"/>
    <w:basedOn w:val="16"/>
    <w:link w:val="12"/>
    <w:uiPriority w:val="99"/>
    <w:rPr>
      <w:kern w:val="2"/>
      <w:sz w:val="18"/>
      <w:szCs w:val="18"/>
    </w:rPr>
  </w:style>
  <w:style w:type="paragraph" w:styleId="25">
    <w:name w:val="List Paragraph"/>
    <w:basedOn w:val="1"/>
    <w:qFormat/>
    <w:uiPriority w:val="34"/>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8</Pages>
  <TotalTime>10</TotalTime>
  <ScaleCrop>false</ScaleCrop>
  <LinksUpToDate>false</LinksUpToDate>
  <Application>WPS Office_12.1.26046.26046_F1E327BC-269C-435d-A152-05C5408002CA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2026-09-13T20:04:00Z</dcterms:created>
  <dc:creator>Data</dc:creator>
  <cp:lastModifiedBy>.</cp:lastModifiedBy>
  <dcterms:modified xsi:type="dcterms:W3CDTF">2026-09-15T21:37:10Z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2052-12.1.26046.26046</vt:lpwstr>
  </property>
  <property fmtid="{D5CDD505-2E9C-101B-9397-08002B2CF9AE}" pid="3" name="ICV">
    <vt:lpwstr>078F0468B79948948149A96ADF033F46_42</vt:lpwstr>
  </property>
</Properties>
</file>