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8BA9D" w14:textId="77777777" w:rsidR="00EB142E" w:rsidRDefault="00EB142E" w:rsidP="00EB142E">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03: PLANEAMIENTO, GESTION Y RESERVA DE CONTINGENCIA</w:t>
      </w:r>
    </w:p>
    <w:p w14:paraId="643BD4FA" w14:textId="77777777" w:rsidR="00EB142E" w:rsidRDefault="00EB142E" w:rsidP="00EB142E">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t>Corresponde al nivel máximo de agregación de las acciones desarrolladas para el planeamiento, dirección, conducción y armonización de las políticas de gobierno, necesarias en la gestión pública, así como para la ejecución y control de los fondos públicos. incluye la previsión de la reserva de contingencia.</w:t>
      </w:r>
    </w:p>
    <w:p w14:paraId="4ACB6B01" w14:textId="3206BD7C" w:rsidR="0083225C" w:rsidRDefault="0083225C"/>
    <w:p w14:paraId="3D0AF3B7" w14:textId="77777777" w:rsidR="00EB142E" w:rsidRDefault="00EB142E" w:rsidP="00EB142E">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05: ORDEN PUBLICO Y SEGURIDAD</w:t>
      </w:r>
    </w:p>
    <w:p w14:paraId="68348A52" w14:textId="77777777" w:rsidR="00EB142E" w:rsidRDefault="00EB142E" w:rsidP="00EB142E">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t>Corresponde al nivel máximo de agregación de las acciones para garantizar el orden público y preservar el orden interno.</w:t>
      </w:r>
    </w:p>
    <w:p w14:paraId="47A00A8C" w14:textId="1403C6A9" w:rsidR="00EB142E" w:rsidRDefault="00EB142E"/>
    <w:p w14:paraId="35548360" w14:textId="77777777" w:rsidR="00002BE7" w:rsidRPr="00002BE7" w:rsidRDefault="00002BE7" w:rsidP="00002BE7">
      <w:pPr>
        <w:pBdr>
          <w:top w:val="single" w:sz="2" w:space="0" w:color="000000"/>
          <w:left w:val="single" w:sz="2" w:space="0" w:color="000000"/>
          <w:bottom w:val="single" w:sz="2" w:space="0" w:color="000000"/>
          <w:right w:val="single" w:sz="2" w:space="0" w:color="000000"/>
        </w:pBdr>
        <w:spacing w:before="30" w:after="30" w:line="240" w:lineRule="auto"/>
        <w:rPr>
          <w:rFonts w:ascii="Arial" w:eastAsia="Times New Roman" w:hAnsi="Arial" w:cs="Arial"/>
          <w:b/>
          <w:bCs/>
          <w:color w:val="D56633"/>
          <w:sz w:val="17"/>
          <w:szCs w:val="17"/>
          <w:lang w:eastAsia="es-PE"/>
        </w:rPr>
      </w:pPr>
      <w:r w:rsidRPr="00002BE7">
        <w:rPr>
          <w:rFonts w:ascii="Arial" w:eastAsia="Times New Roman" w:hAnsi="Arial" w:cs="Arial"/>
          <w:b/>
          <w:bCs/>
          <w:color w:val="D56633"/>
          <w:sz w:val="17"/>
          <w:szCs w:val="17"/>
          <w:lang w:eastAsia="es-PE"/>
        </w:rPr>
        <w:t>07: TRABAJO</w:t>
      </w:r>
    </w:p>
    <w:p w14:paraId="0640D391" w14:textId="77777777" w:rsidR="00002BE7" w:rsidRPr="00002BE7" w:rsidRDefault="00002BE7" w:rsidP="00002BE7">
      <w:pPr>
        <w:pBdr>
          <w:top w:val="single" w:sz="2" w:space="0" w:color="000000"/>
          <w:left w:val="single" w:sz="2" w:space="0" w:color="000000"/>
          <w:bottom w:val="single" w:sz="2" w:space="0" w:color="000000"/>
          <w:right w:val="single" w:sz="2" w:space="0" w:color="000000"/>
        </w:pBdr>
        <w:spacing w:before="30" w:after="30" w:line="240" w:lineRule="auto"/>
        <w:rPr>
          <w:rFonts w:ascii="Arial" w:eastAsia="Times New Roman" w:hAnsi="Arial" w:cs="Arial"/>
          <w:color w:val="000000"/>
          <w:sz w:val="17"/>
          <w:szCs w:val="17"/>
          <w:lang w:eastAsia="es-PE"/>
        </w:rPr>
      </w:pPr>
      <w:r w:rsidRPr="00002BE7">
        <w:rPr>
          <w:rFonts w:ascii="Arial" w:eastAsia="Times New Roman" w:hAnsi="Arial" w:cs="Arial"/>
          <w:color w:val="000000"/>
          <w:sz w:val="17"/>
          <w:szCs w:val="17"/>
          <w:lang w:eastAsia="es-PE"/>
        </w:rPr>
        <w:t>Corresponde al nivel máximo de agregación de las acciones orientadas a promover el desarrollo formal y sostenible del empleo.</w:t>
      </w:r>
    </w:p>
    <w:p w14:paraId="6FE8FBFC" w14:textId="77777777" w:rsidR="00002BE7" w:rsidRDefault="00002BE7"/>
    <w:p w14:paraId="69A47C96" w14:textId="77777777" w:rsidR="00EB142E" w:rsidRDefault="00EB142E" w:rsidP="00EB142E">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08: COMERCIO</w:t>
      </w:r>
    </w:p>
    <w:p w14:paraId="664C7F6D" w14:textId="77777777" w:rsidR="00EB142E" w:rsidRDefault="00EB142E" w:rsidP="00EB142E">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t>Corresponde al nivel máximo de agregación de las acciones orientadas a la promoción del comercio interno y externo.</w:t>
      </w:r>
    </w:p>
    <w:p w14:paraId="429A80A1" w14:textId="0001256A" w:rsidR="00EB142E" w:rsidRDefault="00EB142E"/>
    <w:p w14:paraId="64C6293C" w14:textId="77777777" w:rsidR="00002BE7" w:rsidRPr="00002BE7" w:rsidRDefault="00002BE7" w:rsidP="00002BE7">
      <w:pPr>
        <w:pBdr>
          <w:top w:val="single" w:sz="2" w:space="0" w:color="000000"/>
          <w:left w:val="single" w:sz="2" w:space="0" w:color="000000"/>
          <w:bottom w:val="single" w:sz="2" w:space="0" w:color="000000"/>
          <w:right w:val="single" w:sz="2" w:space="0" w:color="000000"/>
        </w:pBdr>
        <w:spacing w:before="30" w:after="30" w:line="240" w:lineRule="auto"/>
        <w:rPr>
          <w:rFonts w:ascii="Arial" w:eastAsia="Times New Roman" w:hAnsi="Arial" w:cs="Arial"/>
          <w:b/>
          <w:bCs/>
          <w:color w:val="D56633"/>
          <w:sz w:val="17"/>
          <w:szCs w:val="17"/>
          <w:lang w:eastAsia="es-PE"/>
        </w:rPr>
      </w:pPr>
      <w:r w:rsidRPr="00002BE7">
        <w:rPr>
          <w:rFonts w:ascii="Arial" w:eastAsia="Times New Roman" w:hAnsi="Arial" w:cs="Arial"/>
          <w:b/>
          <w:bCs/>
          <w:color w:val="D56633"/>
          <w:sz w:val="17"/>
          <w:szCs w:val="17"/>
          <w:lang w:eastAsia="es-PE"/>
        </w:rPr>
        <w:t>09: TURISMO</w:t>
      </w:r>
    </w:p>
    <w:p w14:paraId="2128CCD3" w14:textId="77777777" w:rsidR="00002BE7" w:rsidRPr="00002BE7" w:rsidRDefault="00002BE7" w:rsidP="00002BE7">
      <w:pPr>
        <w:pBdr>
          <w:top w:val="single" w:sz="2" w:space="0" w:color="000000"/>
          <w:left w:val="single" w:sz="2" w:space="0" w:color="000000"/>
          <w:bottom w:val="single" w:sz="2" w:space="0" w:color="000000"/>
          <w:right w:val="single" w:sz="2" w:space="0" w:color="000000"/>
        </w:pBdr>
        <w:spacing w:before="30" w:after="30" w:line="240" w:lineRule="auto"/>
        <w:rPr>
          <w:rFonts w:ascii="Arial" w:eastAsia="Times New Roman" w:hAnsi="Arial" w:cs="Arial"/>
          <w:color w:val="000000"/>
          <w:sz w:val="17"/>
          <w:szCs w:val="17"/>
          <w:lang w:eastAsia="es-PE"/>
        </w:rPr>
      </w:pPr>
      <w:r w:rsidRPr="00002BE7">
        <w:rPr>
          <w:rFonts w:ascii="Arial" w:eastAsia="Times New Roman" w:hAnsi="Arial" w:cs="Arial"/>
          <w:color w:val="000000"/>
          <w:sz w:val="17"/>
          <w:szCs w:val="17"/>
          <w:lang w:eastAsia="es-PE"/>
        </w:rPr>
        <w:t>Corresponde al nivel máximo de agregación de las acciones orientadas a promover el desarrollo sostenible y competitivo de la actividad turística, con el propósito de mejorar el bienestar integral de los ciudadanos, generando empleo digno y garantizando la valoración y conservación del Patrimonio Nacional histórico, natural y cultural.</w:t>
      </w:r>
    </w:p>
    <w:p w14:paraId="47050EC7" w14:textId="77777777" w:rsidR="00002BE7" w:rsidRDefault="00002BE7"/>
    <w:p w14:paraId="577B993C" w14:textId="3BB28969" w:rsidR="00EB142E" w:rsidRDefault="00EB142E"/>
    <w:p w14:paraId="11F13140" w14:textId="77777777" w:rsidR="00EB142E" w:rsidRDefault="00EB142E" w:rsidP="00EB142E">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10: AGROPECUARIA</w:t>
      </w:r>
    </w:p>
    <w:p w14:paraId="6CFB2895" w14:textId="77777777" w:rsidR="00EB142E" w:rsidRDefault="00EB142E" w:rsidP="00EB142E">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t>Corresponde al nivel máximo de agregación de las acciones desarrolladas para la consecución de los objetivos de gobierno, dirigidos al fortalecimiento y desarrollo sostenible del Sector Agrario y Pecuario.</w:t>
      </w:r>
    </w:p>
    <w:p w14:paraId="4B4E493A" w14:textId="0AFC8331" w:rsidR="00EB142E" w:rsidRDefault="00EB142E"/>
    <w:p w14:paraId="4DF6459E" w14:textId="77777777" w:rsidR="00DA49DB" w:rsidRDefault="00DA49DB" w:rsidP="00DA49DB">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12: ENERGIA</w:t>
      </w:r>
    </w:p>
    <w:p w14:paraId="7BD99922" w14:textId="77777777" w:rsidR="00DA49DB" w:rsidRDefault="00DA49DB" w:rsidP="00DA49DB">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t>Corresponde al nivel máximo de agregación de las acciones desarrolladas para la generación, transmisión y distribución de energía, así como para la promoción de la inversión en energía.</w:t>
      </w:r>
    </w:p>
    <w:p w14:paraId="1441A9B3" w14:textId="77777777" w:rsidR="00DA49DB" w:rsidRDefault="00DA49DB"/>
    <w:p w14:paraId="7FA07E8A" w14:textId="77777777" w:rsidR="00EB142E" w:rsidRDefault="00EB142E" w:rsidP="00EB142E">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11: PESCA</w:t>
      </w:r>
    </w:p>
    <w:p w14:paraId="4B23613A" w14:textId="77777777" w:rsidR="00EB142E" w:rsidRDefault="00EB142E" w:rsidP="00EB142E">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t>Corresponde al nivel máximo de agregación de las acciones desarrolladas para la consecución de los objetivos dirigidos al fortalecimiento y desarrollo sostenible del sector pesquero, referido a la extracción, cultivo, abastecimiento y procesamiento de recursos ictiológicos.</w:t>
      </w:r>
    </w:p>
    <w:p w14:paraId="09279164" w14:textId="2AACBFB3" w:rsidR="00EB142E" w:rsidRDefault="00EB142E"/>
    <w:p w14:paraId="57E2C53A" w14:textId="77777777" w:rsidR="00145C10" w:rsidRPr="00145C10" w:rsidRDefault="00145C10" w:rsidP="00145C10">
      <w:pPr>
        <w:pBdr>
          <w:top w:val="single" w:sz="2" w:space="0" w:color="000000"/>
          <w:left w:val="single" w:sz="2" w:space="0" w:color="000000"/>
          <w:bottom w:val="single" w:sz="2" w:space="0" w:color="000000"/>
          <w:right w:val="single" w:sz="2" w:space="0" w:color="000000"/>
        </w:pBdr>
        <w:spacing w:before="30" w:after="30" w:line="240" w:lineRule="auto"/>
        <w:rPr>
          <w:rFonts w:ascii="Arial" w:eastAsia="Times New Roman" w:hAnsi="Arial" w:cs="Arial"/>
          <w:b/>
          <w:bCs/>
          <w:color w:val="D56633"/>
          <w:sz w:val="17"/>
          <w:szCs w:val="17"/>
          <w:lang w:eastAsia="es-PE"/>
        </w:rPr>
      </w:pPr>
      <w:r w:rsidRPr="00145C10">
        <w:rPr>
          <w:rFonts w:ascii="Arial" w:eastAsia="Times New Roman" w:hAnsi="Arial" w:cs="Arial"/>
          <w:b/>
          <w:bCs/>
          <w:color w:val="D56633"/>
          <w:sz w:val="17"/>
          <w:szCs w:val="17"/>
          <w:lang w:eastAsia="es-PE"/>
        </w:rPr>
        <w:t>14: INDUSTRIA</w:t>
      </w:r>
    </w:p>
    <w:p w14:paraId="31B52EF1" w14:textId="77777777" w:rsidR="00145C10" w:rsidRPr="00145C10" w:rsidRDefault="00145C10" w:rsidP="00145C10">
      <w:pPr>
        <w:pBdr>
          <w:top w:val="single" w:sz="2" w:space="0" w:color="000000"/>
          <w:left w:val="single" w:sz="2" w:space="0" w:color="000000"/>
          <w:bottom w:val="single" w:sz="2" w:space="0" w:color="000000"/>
          <w:right w:val="single" w:sz="2" w:space="0" w:color="000000"/>
        </w:pBdr>
        <w:spacing w:before="30" w:after="30" w:line="240" w:lineRule="auto"/>
        <w:rPr>
          <w:rFonts w:ascii="Arial" w:eastAsia="Times New Roman" w:hAnsi="Arial" w:cs="Arial"/>
          <w:color w:val="000000"/>
          <w:sz w:val="17"/>
          <w:szCs w:val="17"/>
          <w:lang w:eastAsia="es-PE"/>
        </w:rPr>
      </w:pPr>
      <w:r w:rsidRPr="00145C10">
        <w:rPr>
          <w:rFonts w:ascii="Arial" w:eastAsia="Times New Roman" w:hAnsi="Arial" w:cs="Arial"/>
          <w:color w:val="000000"/>
          <w:sz w:val="17"/>
          <w:szCs w:val="17"/>
          <w:lang w:eastAsia="es-PE"/>
        </w:rPr>
        <w:t>Corresponde al nivel máximo de agregación de las acciones orientadas al desarrollo de la industria, en concordancia con la política nacional industrial.</w:t>
      </w:r>
    </w:p>
    <w:p w14:paraId="40430587" w14:textId="77777777" w:rsidR="00145C10" w:rsidRDefault="00145C10"/>
    <w:p w14:paraId="2394E848" w14:textId="229FCD94" w:rsidR="00EB142E" w:rsidRDefault="00EB142E"/>
    <w:p w14:paraId="6D0FE5E0" w14:textId="77777777" w:rsidR="00EB142E" w:rsidRDefault="00EB142E" w:rsidP="00EB142E">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15: TRANSPORTE</w:t>
      </w:r>
    </w:p>
    <w:p w14:paraId="15F2AF2C" w14:textId="77777777" w:rsidR="00EB142E" w:rsidRDefault="00EB142E" w:rsidP="00EB142E">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t>Corresponde al nivel máximo de agregación de las acciones para la consecución de los objetivos vinculados al desarrollo de la infraestructura aérea, terrestre y acuática, así como al empleo de los diversos medios de transporte</w:t>
      </w:r>
    </w:p>
    <w:p w14:paraId="679E5BD0" w14:textId="1A36FAEF" w:rsidR="00EB142E" w:rsidRDefault="00EB142E"/>
    <w:p w14:paraId="4A457565" w14:textId="65B583F9" w:rsidR="00EB142E" w:rsidRDefault="00EB142E"/>
    <w:p w14:paraId="1AFCEC7A" w14:textId="77777777" w:rsidR="00EB142E" w:rsidRDefault="00EB142E" w:rsidP="00EB142E">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17: MEDIO AMBIENTE</w:t>
      </w:r>
    </w:p>
    <w:p w14:paraId="7408D145" w14:textId="77777777" w:rsidR="00EB142E" w:rsidRDefault="00EB142E" w:rsidP="00EB142E">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lastRenderedPageBreak/>
        <w:t>Corresponde al nivel máximo de agregación de las acciones orientadas a la protección de los recursos naturales, control y remediación de la contaminación ambiental.</w:t>
      </w:r>
    </w:p>
    <w:p w14:paraId="7F94D0F4" w14:textId="115132D0" w:rsidR="00EB142E" w:rsidRDefault="00EB142E"/>
    <w:p w14:paraId="751CA495" w14:textId="77777777" w:rsidR="00EB142E" w:rsidRDefault="00EB142E" w:rsidP="00EB142E">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18: SANEAMIENTO</w:t>
      </w:r>
    </w:p>
    <w:p w14:paraId="66E2D380" w14:textId="77777777" w:rsidR="00EB142E" w:rsidRDefault="00EB142E" w:rsidP="00EB142E">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t>Corresponde al nivel máximo de agregación de las acciones orientadas a garantizar el abastecimiento de agua potable, la implementación y mantenimiento del alcantarillado sanitario y pluvial.</w:t>
      </w:r>
    </w:p>
    <w:p w14:paraId="73171B05" w14:textId="26D8BA95" w:rsidR="00EB142E" w:rsidRDefault="00EB142E"/>
    <w:p w14:paraId="637A9AE0" w14:textId="71947EC7" w:rsidR="00EB142E" w:rsidRDefault="00EB142E"/>
    <w:p w14:paraId="34DA71C1" w14:textId="77777777" w:rsidR="00EB142E" w:rsidRDefault="00EB142E" w:rsidP="00EB142E">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19: VIVIENDA Y DESARROLLO URBANO</w:t>
      </w:r>
    </w:p>
    <w:p w14:paraId="3B4AC65D" w14:textId="77777777" w:rsidR="00EB142E" w:rsidRDefault="00EB142E" w:rsidP="00EB142E">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t>Corresponde al nivel máximo de agregación de las acciones desarrolladas para la normalización y desarrollo de las actividades de vivienda, desarrollo urbano y edificaciones, a fin de lograr mejores condiciones de habitabilidad para la población</w:t>
      </w:r>
    </w:p>
    <w:p w14:paraId="68D09EB6" w14:textId="3EA8C20A" w:rsidR="00EB142E" w:rsidRDefault="00EB142E"/>
    <w:p w14:paraId="6B28D4D1" w14:textId="1879584E" w:rsidR="00EB142E" w:rsidRDefault="00EB142E"/>
    <w:p w14:paraId="05DBC7EA" w14:textId="77777777" w:rsidR="00EB142E" w:rsidRDefault="00EB142E" w:rsidP="00EB142E">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20: SALUD</w:t>
      </w:r>
    </w:p>
    <w:p w14:paraId="5B912284" w14:textId="77777777" w:rsidR="00EB142E" w:rsidRDefault="00EB142E" w:rsidP="00EB142E">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t>Corresponde al nivel máximo de agregación de las acciones y servicios ofrecidos en materia de salud orientados a mejorar el bienestar de la población.</w:t>
      </w:r>
    </w:p>
    <w:p w14:paraId="023D5DEA" w14:textId="69E5F8DE" w:rsidR="00EB142E" w:rsidRDefault="00EB142E"/>
    <w:p w14:paraId="0002BD26" w14:textId="77777777" w:rsidR="00EB142E" w:rsidRDefault="00EB142E" w:rsidP="00EB142E">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21: CULTURA Y DEPORTE</w:t>
      </w:r>
    </w:p>
    <w:p w14:paraId="041F0E96" w14:textId="77777777" w:rsidR="00EB142E" w:rsidRDefault="00EB142E" w:rsidP="00EB142E">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t>Corresponde al nivel máximo de agregación para la consecución de las acciones y servicios, en materia de cultura, deporte y recreación a nivel nacional, orientados a contribuir al desarrollo integral del individuo, mejorar la convivencia social, preservar y difundir la cultura.</w:t>
      </w:r>
    </w:p>
    <w:p w14:paraId="36895176" w14:textId="367F3150" w:rsidR="00EB142E" w:rsidRDefault="00EB142E"/>
    <w:p w14:paraId="7D5C2788" w14:textId="77777777" w:rsidR="00EB142E" w:rsidRDefault="00EB142E" w:rsidP="00EB142E">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22: EDUCACION</w:t>
      </w:r>
    </w:p>
    <w:p w14:paraId="53657767" w14:textId="77777777" w:rsidR="00EB142E" w:rsidRDefault="00EB142E" w:rsidP="00EB142E">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t>Corresponde al nivel máximo de agregación para la consecución de las acciones y servicios, en materia de educación a nivel nacional, asegurando la formación intelectual, moral, cívica y profesional de la persona, para su participación eficaz en el proceso de desarrollo socio-económico.</w:t>
      </w:r>
    </w:p>
    <w:p w14:paraId="4893A0CD" w14:textId="76A292F1" w:rsidR="00EB142E" w:rsidRDefault="00EB142E"/>
    <w:p w14:paraId="4013129E" w14:textId="77777777" w:rsidR="00EB142E" w:rsidRDefault="00EB142E" w:rsidP="00EB142E">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23: PROTECCION SOCIAL</w:t>
      </w:r>
    </w:p>
    <w:p w14:paraId="36BE0001" w14:textId="77777777" w:rsidR="00EB142E" w:rsidRDefault="00EB142E" w:rsidP="00EB142E">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t>Corresponde al nivel máximo de agregación de las acciones desarrolladas para la consecución de los objetivos vinculados al desarrollo social del ser humano en los aspectos relacionados con su amparo, asistencia y la promoción de la igualdad de oportunidades.</w:t>
      </w:r>
    </w:p>
    <w:p w14:paraId="55EC104D" w14:textId="32130094" w:rsidR="00EB142E" w:rsidRDefault="00EB142E"/>
    <w:p w14:paraId="244F4719" w14:textId="77777777" w:rsidR="00EB142E" w:rsidRDefault="00EB142E" w:rsidP="00EB142E">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24: PREVISION SOCIAL</w:t>
      </w:r>
    </w:p>
    <w:p w14:paraId="10674979" w14:textId="77777777" w:rsidR="00EB142E" w:rsidRDefault="00EB142E" w:rsidP="00EB142E">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t>Corresponde al nivel máximo de agregación de las acciones desarrolladas para garantizar la cobertura financiera del pago y la asistencia a los asegurados y beneficiarios de los sistemas previsionales a cargo del estado. incluye las acciones orientadas a la atención de la seguridad social en salud.</w:t>
      </w:r>
    </w:p>
    <w:p w14:paraId="1E09FBEB" w14:textId="657A740E" w:rsidR="00EB142E" w:rsidRDefault="00EB142E"/>
    <w:p w14:paraId="69FD4B17" w14:textId="77777777" w:rsidR="00EB142E" w:rsidRDefault="00EB142E" w:rsidP="00EB142E">
      <w:pPr>
        <w:pStyle w:val="h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b/>
          <w:bCs/>
          <w:color w:val="D56633"/>
          <w:sz w:val="17"/>
          <w:szCs w:val="17"/>
        </w:rPr>
      </w:pPr>
      <w:r>
        <w:rPr>
          <w:rFonts w:ascii="Arial" w:hAnsi="Arial" w:cs="Arial"/>
          <w:b/>
          <w:bCs/>
          <w:color w:val="D56633"/>
          <w:sz w:val="17"/>
          <w:szCs w:val="17"/>
        </w:rPr>
        <w:t>25: DEUDA PUBLICA</w:t>
      </w:r>
    </w:p>
    <w:p w14:paraId="35368F77" w14:textId="77777777" w:rsidR="00EB142E" w:rsidRDefault="00EB142E" w:rsidP="00EB142E">
      <w:pPr>
        <w:pStyle w:val="bd"/>
        <w:pBdr>
          <w:top w:val="single" w:sz="2" w:space="0" w:color="000000"/>
          <w:left w:val="single" w:sz="2" w:space="0" w:color="000000"/>
          <w:bottom w:val="single" w:sz="2" w:space="0" w:color="000000"/>
          <w:right w:val="single" w:sz="2" w:space="0" w:color="000000"/>
        </w:pBdr>
        <w:spacing w:before="30" w:beforeAutospacing="0" w:after="30" w:afterAutospacing="0"/>
        <w:rPr>
          <w:rFonts w:ascii="Arial" w:hAnsi="Arial" w:cs="Arial"/>
          <w:color w:val="000000"/>
          <w:sz w:val="17"/>
          <w:szCs w:val="17"/>
        </w:rPr>
      </w:pPr>
      <w:r>
        <w:rPr>
          <w:rFonts w:ascii="Arial" w:hAnsi="Arial" w:cs="Arial"/>
          <w:color w:val="000000"/>
          <w:sz w:val="17"/>
          <w:szCs w:val="17"/>
        </w:rPr>
        <w:t>Máximo nivel de agregación de las acciones desarrolladas para la atención de los compromisos del Estado contraídos por operaciones de endeudamiento interno y externo.</w:t>
      </w:r>
    </w:p>
    <w:p w14:paraId="25C339C5" w14:textId="3D3F6044" w:rsidR="00EB142E" w:rsidRDefault="00EB142E"/>
    <w:p w14:paraId="435CEEF7" w14:textId="5F484089" w:rsidR="00BD68B9" w:rsidRDefault="00BD68B9"/>
    <w:p w14:paraId="25F4E6A1" w14:textId="77777777" w:rsidR="00FA3EA8" w:rsidRDefault="00FA3EA8" w:rsidP="00FA3EA8">
      <w:pPr>
        <w:jc w:val="both"/>
      </w:pPr>
      <w:r>
        <w:t>¿Qué son las asignaciones presupuestarias que no resultan en productos?</w:t>
      </w:r>
    </w:p>
    <w:p w14:paraId="71E0BA8F" w14:textId="3F406DF4" w:rsidR="00BD68B9" w:rsidRDefault="00FA3EA8" w:rsidP="00FA3EA8">
      <w:pPr>
        <w:jc w:val="both"/>
      </w:pPr>
      <w:r>
        <w:t>- Asignaciones Presupuestarias que no resultan en productos (APNOP): comprende a las actividades para la atención de una finalidad especifica de la entidad y que no tienen relación con el proceso de generación de productos de un Programa Presupuestal.</w:t>
      </w:r>
    </w:p>
    <w:sectPr w:rsidR="00BD68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2E"/>
    <w:rsid w:val="00002BE7"/>
    <w:rsid w:val="00145C10"/>
    <w:rsid w:val="00302CEC"/>
    <w:rsid w:val="003A2C66"/>
    <w:rsid w:val="0083225C"/>
    <w:rsid w:val="00BD68B9"/>
    <w:rsid w:val="00DA49DB"/>
    <w:rsid w:val="00EB142E"/>
    <w:rsid w:val="00FA3E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C0944"/>
  <w15:chartTrackingRefBased/>
  <w15:docId w15:val="{3FCA9058-F37C-48B9-9981-6986C1CDA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d">
    <w:name w:val="hd"/>
    <w:basedOn w:val="Normal"/>
    <w:rsid w:val="00EB142E"/>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bd">
    <w:name w:val="bd"/>
    <w:basedOn w:val="Normal"/>
    <w:rsid w:val="00EB142E"/>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51861">
      <w:bodyDiv w:val="1"/>
      <w:marLeft w:val="0"/>
      <w:marRight w:val="0"/>
      <w:marTop w:val="0"/>
      <w:marBottom w:val="0"/>
      <w:divBdr>
        <w:top w:val="none" w:sz="0" w:space="0" w:color="auto"/>
        <w:left w:val="none" w:sz="0" w:space="0" w:color="auto"/>
        <w:bottom w:val="none" w:sz="0" w:space="0" w:color="auto"/>
        <w:right w:val="none" w:sz="0" w:space="0" w:color="auto"/>
      </w:divBdr>
    </w:div>
    <w:div w:id="103354209">
      <w:bodyDiv w:val="1"/>
      <w:marLeft w:val="0"/>
      <w:marRight w:val="0"/>
      <w:marTop w:val="0"/>
      <w:marBottom w:val="0"/>
      <w:divBdr>
        <w:top w:val="none" w:sz="0" w:space="0" w:color="auto"/>
        <w:left w:val="none" w:sz="0" w:space="0" w:color="auto"/>
        <w:bottom w:val="none" w:sz="0" w:space="0" w:color="auto"/>
        <w:right w:val="none" w:sz="0" w:space="0" w:color="auto"/>
      </w:divBdr>
    </w:div>
    <w:div w:id="293798137">
      <w:bodyDiv w:val="1"/>
      <w:marLeft w:val="0"/>
      <w:marRight w:val="0"/>
      <w:marTop w:val="0"/>
      <w:marBottom w:val="0"/>
      <w:divBdr>
        <w:top w:val="none" w:sz="0" w:space="0" w:color="auto"/>
        <w:left w:val="none" w:sz="0" w:space="0" w:color="auto"/>
        <w:bottom w:val="none" w:sz="0" w:space="0" w:color="auto"/>
        <w:right w:val="none" w:sz="0" w:space="0" w:color="auto"/>
      </w:divBdr>
    </w:div>
    <w:div w:id="354162284">
      <w:bodyDiv w:val="1"/>
      <w:marLeft w:val="0"/>
      <w:marRight w:val="0"/>
      <w:marTop w:val="0"/>
      <w:marBottom w:val="0"/>
      <w:divBdr>
        <w:top w:val="none" w:sz="0" w:space="0" w:color="auto"/>
        <w:left w:val="none" w:sz="0" w:space="0" w:color="auto"/>
        <w:bottom w:val="none" w:sz="0" w:space="0" w:color="auto"/>
        <w:right w:val="none" w:sz="0" w:space="0" w:color="auto"/>
      </w:divBdr>
    </w:div>
    <w:div w:id="394134621">
      <w:bodyDiv w:val="1"/>
      <w:marLeft w:val="0"/>
      <w:marRight w:val="0"/>
      <w:marTop w:val="0"/>
      <w:marBottom w:val="0"/>
      <w:divBdr>
        <w:top w:val="none" w:sz="0" w:space="0" w:color="auto"/>
        <w:left w:val="none" w:sz="0" w:space="0" w:color="auto"/>
        <w:bottom w:val="none" w:sz="0" w:space="0" w:color="auto"/>
        <w:right w:val="none" w:sz="0" w:space="0" w:color="auto"/>
      </w:divBdr>
    </w:div>
    <w:div w:id="399912468">
      <w:bodyDiv w:val="1"/>
      <w:marLeft w:val="0"/>
      <w:marRight w:val="0"/>
      <w:marTop w:val="0"/>
      <w:marBottom w:val="0"/>
      <w:divBdr>
        <w:top w:val="none" w:sz="0" w:space="0" w:color="auto"/>
        <w:left w:val="none" w:sz="0" w:space="0" w:color="auto"/>
        <w:bottom w:val="none" w:sz="0" w:space="0" w:color="auto"/>
        <w:right w:val="none" w:sz="0" w:space="0" w:color="auto"/>
      </w:divBdr>
      <w:divsChild>
        <w:div w:id="956715988">
          <w:marLeft w:val="0"/>
          <w:marRight w:val="0"/>
          <w:marTop w:val="0"/>
          <w:marBottom w:val="0"/>
          <w:divBdr>
            <w:top w:val="none" w:sz="0" w:space="0" w:color="auto"/>
            <w:left w:val="none" w:sz="0" w:space="0" w:color="auto"/>
            <w:bottom w:val="none" w:sz="0" w:space="0" w:color="auto"/>
            <w:right w:val="none" w:sz="0" w:space="0" w:color="auto"/>
          </w:divBdr>
          <w:divsChild>
            <w:div w:id="1700279484">
              <w:marLeft w:val="0"/>
              <w:marRight w:val="0"/>
              <w:marTop w:val="0"/>
              <w:marBottom w:val="0"/>
              <w:divBdr>
                <w:top w:val="none" w:sz="0" w:space="0" w:color="auto"/>
                <w:left w:val="none" w:sz="0" w:space="0" w:color="auto"/>
                <w:bottom w:val="none" w:sz="0" w:space="0" w:color="auto"/>
                <w:right w:val="none" w:sz="0" w:space="0" w:color="auto"/>
              </w:divBdr>
              <w:divsChild>
                <w:div w:id="153800927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6915217">
          <w:marLeft w:val="0"/>
          <w:marRight w:val="0"/>
          <w:marTop w:val="0"/>
          <w:marBottom w:val="0"/>
          <w:divBdr>
            <w:top w:val="none" w:sz="0" w:space="0" w:color="auto"/>
            <w:left w:val="none" w:sz="0" w:space="0" w:color="auto"/>
            <w:bottom w:val="none" w:sz="0" w:space="0" w:color="auto"/>
            <w:right w:val="none" w:sz="0" w:space="0" w:color="auto"/>
          </w:divBdr>
          <w:divsChild>
            <w:div w:id="2052146609">
              <w:marLeft w:val="0"/>
              <w:marRight w:val="0"/>
              <w:marTop w:val="0"/>
              <w:marBottom w:val="0"/>
              <w:divBdr>
                <w:top w:val="none" w:sz="0" w:space="0" w:color="auto"/>
                <w:left w:val="none" w:sz="0" w:space="0" w:color="auto"/>
                <w:bottom w:val="none" w:sz="0" w:space="0" w:color="auto"/>
                <w:right w:val="none" w:sz="0" w:space="0" w:color="auto"/>
              </w:divBdr>
              <w:divsChild>
                <w:div w:id="372316505">
                  <w:marLeft w:val="0"/>
                  <w:marRight w:val="0"/>
                  <w:marTop w:val="0"/>
                  <w:marBottom w:val="150"/>
                  <w:divBdr>
                    <w:top w:val="none" w:sz="0" w:space="0" w:color="auto"/>
                    <w:left w:val="none" w:sz="0" w:space="0" w:color="auto"/>
                    <w:bottom w:val="none" w:sz="0" w:space="0" w:color="auto"/>
                    <w:right w:val="none" w:sz="0" w:space="0" w:color="auto"/>
                  </w:divBdr>
                  <w:divsChild>
                    <w:div w:id="279994021">
                      <w:marLeft w:val="0"/>
                      <w:marRight w:val="0"/>
                      <w:marTop w:val="0"/>
                      <w:marBottom w:val="0"/>
                      <w:divBdr>
                        <w:top w:val="none" w:sz="0" w:space="0" w:color="auto"/>
                        <w:left w:val="none" w:sz="0" w:space="0" w:color="auto"/>
                        <w:bottom w:val="none" w:sz="0" w:space="0" w:color="auto"/>
                        <w:right w:val="none" w:sz="0" w:space="0" w:color="auto"/>
                      </w:divBdr>
                      <w:divsChild>
                        <w:div w:id="224417538">
                          <w:marLeft w:val="0"/>
                          <w:marRight w:val="0"/>
                          <w:marTop w:val="0"/>
                          <w:marBottom w:val="0"/>
                          <w:divBdr>
                            <w:top w:val="none" w:sz="0" w:space="0" w:color="auto"/>
                            <w:left w:val="none" w:sz="0" w:space="0" w:color="auto"/>
                            <w:bottom w:val="none" w:sz="0" w:space="0" w:color="auto"/>
                            <w:right w:val="none" w:sz="0" w:space="0" w:color="auto"/>
                          </w:divBdr>
                          <w:divsChild>
                            <w:div w:id="207076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324327">
      <w:bodyDiv w:val="1"/>
      <w:marLeft w:val="0"/>
      <w:marRight w:val="0"/>
      <w:marTop w:val="0"/>
      <w:marBottom w:val="0"/>
      <w:divBdr>
        <w:top w:val="none" w:sz="0" w:space="0" w:color="auto"/>
        <w:left w:val="none" w:sz="0" w:space="0" w:color="auto"/>
        <w:bottom w:val="none" w:sz="0" w:space="0" w:color="auto"/>
        <w:right w:val="none" w:sz="0" w:space="0" w:color="auto"/>
      </w:divBdr>
    </w:div>
    <w:div w:id="504129954">
      <w:bodyDiv w:val="1"/>
      <w:marLeft w:val="0"/>
      <w:marRight w:val="0"/>
      <w:marTop w:val="0"/>
      <w:marBottom w:val="0"/>
      <w:divBdr>
        <w:top w:val="none" w:sz="0" w:space="0" w:color="auto"/>
        <w:left w:val="none" w:sz="0" w:space="0" w:color="auto"/>
        <w:bottom w:val="none" w:sz="0" w:space="0" w:color="auto"/>
        <w:right w:val="none" w:sz="0" w:space="0" w:color="auto"/>
      </w:divBdr>
    </w:div>
    <w:div w:id="555823325">
      <w:bodyDiv w:val="1"/>
      <w:marLeft w:val="0"/>
      <w:marRight w:val="0"/>
      <w:marTop w:val="0"/>
      <w:marBottom w:val="0"/>
      <w:divBdr>
        <w:top w:val="none" w:sz="0" w:space="0" w:color="auto"/>
        <w:left w:val="none" w:sz="0" w:space="0" w:color="auto"/>
        <w:bottom w:val="none" w:sz="0" w:space="0" w:color="auto"/>
        <w:right w:val="none" w:sz="0" w:space="0" w:color="auto"/>
      </w:divBdr>
    </w:div>
    <w:div w:id="657073841">
      <w:bodyDiv w:val="1"/>
      <w:marLeft w:val="0"/>
      <w:marRight w:val="0"/>
      <w:marTop w:val="0"/>
      <w:marBottom w:val="0"/>
      <w:divBdr>
        <w:top w:val="none" w:sz="0" w:space="0" w:color="auto"/>
        <w:left w:val="none" w:sz="0" w:space="0" w:color="auto"/>
        <w:bottom w:val="none" w:sz="0" w:space="0" w:color="auto"/>
        <w:right w:val="none" w:sz="0" w:space="0" w:color="auto"/>
      </w:divBdr>
    </w:div>
    <w:div w:id="795874001">
      <w:bodyDiv w:val="1"/>
      <w:marLeft w:val="0"/>
      <w:marRight w:val="0"/>
      <w:marTop w:val="0"/>
      <w:marBottom w:val="0"/>
      <w:divBdr>
        <w:top w:val="none" w:sz="0" w:space="0" w:color="auto"/>
        <w:left w:val="none" w:sz="0" w:space="0" w:color="auto"/>
        <w:bottom w:val="none" w:sz="0" w:space="0" w:color="auto"/>
        <w:right w:val="none" w:sz="0" w:space="0" w:color="auto"/>
      </w:divBdr>
    </w:div>
    <w:div w:id="817379971">
      <w:bodyDiv w:val="1"/>
      <w:marLeft w:val="0"/>
      <w:marRight w:val="0"/>
      <w:marTop w:val="0"/>
      <w:marBottom w:val="0"/>
      <w:divBdr>
        <w:top w:val="none" w:sz="0" w:space="0" w:color="auto"/>
        <w:left w:val="none" w:sz="0" w:space="0" w:color="auto"/>
        <w:bottom w:val="none" w:sz="0" w:space="0" w:color="auto"/>
        <w:right w:val="none" w:sz="0" w:space="0" w:color="auto"/>
      </w:divBdr>
    </w:div>
    <w:div w:id="1171750016">
      <w:bodyDiv w:val="1"/>
      <w:marLeft w:val="0"/>
      <w:marRight w:val="0"/>
      <w:marTop w:val="0"/>
      <w:marBottom w:val="0"/>
      <w:divBdr>
        <w:top w:val="none" w:sz="0" w:space="0" w:color="auto"/>
        <w:left w:val="none" w:sz="0" w:space="0" w:color="auto"/>
        <w:bottom w:val="none" w:sz="0" w:space="0" w:color="auto"/>
        <w:right w:val="none" w:sz="0" w:space="0" w:color="auto"/>
      </w:divBdr>
    </w:div>
    <w:div w:id="1217425008">
      <w:bodyDiv w:val="1"/>
      <w:marLeft w:val="0"/>
      <w:marRight w:val="0"/>
      <w:marTop w:val="0"/>
      <w:marBottom w:val="0"/>
      <w:divBdr>
        <w:top w:val="none" w:sz="0" w:space="0" w:color="auto"/>
        <w:left w:val="none" w:sz="0" w:space="0" w:color="auto"/>
        <w:bottom w:val="none" w:sz="0" w:space="0" w:color="auto"/>
        <w:right w:val="none" w:sz="0" w:space="0" w:color="auto"/>
      </w:divBdr>
    </w:div>
    <w:div w:id="1476337071">
      <w:bodyDiv w:val="1"/>
      <w:marLeft w:val="0"/>
      <w:marRight w:val="0"/>
      <w:marTop w:val="0"/>
      <w:marBottom w:val="0"/>
      <w:divBdr>
        <w:top w:val="none" w:sz="0" w:space="0" w:color="auto"/>
        <w:left w:val="none" w:sz="0" w:space="0" w:color="auto"/>
        <w:bottom w:val="none" w:sz="0" w:space="0" w:color="auto"/>
        <w:right w:val="none" w:sz="0" w:space="0" w:color="auto"/>
      </w:divBdr>
    </w:div>
    <w:div w:id="1564751560">
      <w:bodyDiv w:val="1"/>
      <w:marLeft w:val="0"/>
      <w:marRight w:val="0"/>
      <w:marTop w:val="0"/>
      <w:marBottom w:val="0"/>
      <w:divBdr>
        <w:top w:val="none" w:sz="0" w:space="0" w:color="auto"/>
        <w:left w:val="none" w:sz="0" w:space="0" w:color="auto"/>
        <w:bottom w:val="none" w:sz="0" w:space="0" w:color="auto"/>
        <w:right w:val="none" w:sz="0" w:space="0" w:color="auto"/>
      </w:divBdr>
    </w:div>
    <w:div w:id="1817838619">
      <w:bodyDiv w:val="1"/>
      <w:marLeft w:val="0"/>
      <w:marRight w:val="0"/>
      <w:marTop w:val="0"/>
      <w:marBottom w:val="0"/>
      <w:divBdr>
        <w:top w:val="none" w:sz="0" w:space="0" w:color="auto"/>
        <w:left w:val="none" w:sz="0" w:space="0" w:color="auto"/>
        <w:bottom w:val="none" w:sz="0" w:space="0" w:color="auto"/>
        <w:right w:val="none" w:sz="0" w:space="0" w:color="auto"/>
      </w:divBdr>
    </w:div>
    <w:div w:id="2077821211">
      <w:bodyDiv w:val="1"/>
      <w:marLeft w:val="0"/>
      <w:marRight w:val="0"/>
      <w:marTop w:val="0"/>
      <w:marBottom w:val="0"/>
      <w:divBdr>
        <w:top w:val="none" w:sz="0" w:space="0" w:color="auto"/>
        <w:left w:val="none" w:sz="0" w:space="0" w:color="auto"/>
        <w:bottom w:val="none" w:sz="0" w:space="0" w:color="auto"/>
        <w:right w:val="none" w:sz="0" w:space="0" w:color="auto"/>
      </w:divBdr>
    </w:div>
    <w:div w:id="2106266660">
      <w:bodyDiv w:val="1"/>
      <w:marLeft w:val="0"/>
      <w:marRight w:val="0"/>
      <w:marTop w:val="0"/>
      <w:marBottom w:val="0"/>
      <w:divBdr>
        <w:top w:val="none" w:sz="0" w:space="0" w:color="auto"/>
        <w:left w:val="none" w:sz="0" w:space="0" w:color="auto"/>
        <w:bottom w:val="none" w:sz="0" w:space="0" w:color="auto"/>
        <w:right w:val="none" w:sz="0" w:space="0" w:color="auto"/>
      </w:divBdr>
    </w:div>
    <w:div w:id="2118212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2</Pages>
  <Words>739</Words>
  <Characters>4070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jeffer cuellar vizcarra</dc:creator>
  <cp:keywords/>
  <dc:description/>
  <cp:lastModifiedBy>max jeffer cuellar vizcarra</cp:lastModifiedBy>
  <cp:revision>24</cp:revision>
  <dcterms:created xsi:type="dcterms:W3CDTF">2025-08-04T20:08:00Z</dcterms:created>
  <dcterms:modified xsi:type="dcterms:W3CDTF">2025-08-04T23:46:00Z</dcterms:modified>
</cp:coreProperties>
</file>