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CE033" w14:textId="77777777" w:rsidR="00745291" w:rsidRDefault="00273ED5">
      <w:pPr>
        <w:jc w:val="right"/>
        <w:rPr>
          <w:rFonts w:hint="eastAsia"/>
        </w:rPr>
      </w:pPr>
      <w:r>
        <w:rPr>
          <w:b/>
          <w:sz w:val="20"/>
        </w:rPr>
        <w:t>Cierre: Saturday, 26 de September de 2026, 23:59</w:t>
      </w:r>
    </w:p>
    <w:p w14:paraId="17C1EA6F" w14:textId="77777777" w:rsidR="00745291" w:rsidRDefault="00273ED5">
      <w:pPr>
        <w:spacing w:before="160" w:after="100"/>
        <w:rPr>
          <w:rFonts w:hint="eastAsia"/>
        </w:rPr>
      </w:pPr>
      <w:r>
        <w:rPr>
          <w:b/>
          <w:sz w:val="28"/>
        </w:rPr>
        <w:t>1. Qué se pide</w:t>
      </w:r>
    </w:p>
    <w:p w14:paraId="054B5901" w14:textId="77777777" w:rsidR="00745291" w:rsidRDefault="00273ED5">
      <w:pPr>
        <w:spacing w:after="100"/>
        <w:rPr>
          <w:rFonts w:hint="eastAsia"/>
        </w:rPr>
      </w:pPr>
      <w:r>
        <w:t xml:space="preserve">Una vertical funcional en producción: el login y un flujo Must have completo, de la pantalla a la base de datos y de vuelta, funcionando en una dirección pública. Junto con el </w:t>
      </w:r>
      <w:r>
        <w:t>sistema, el documento avanza con los apartados 2.4, 2.5 y 2.6 en borrador.</w:t>
      </w:r>
    </w:p>
    <w:p w14:paraId="36A22314" w14:textId="77777777" w:rsidR="00745291" w:rsidRDefault="00273ED5">
      <w:pPr>
        <w:spacing w:after="100"/>
        <w:rPr>
          <w:rFonts w:hint="eastAsia"/>
        </w:rPr>
      </w:pPr>
      <w:r>
        <w:t>Mejor un flujo completo en línea que diez pantallas en localhost. Lo que no está desplegado no se califica como funcionalidad.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745291" w14:paraId="4557EDF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05287416" w14:textId="77777777" w:rsidR="00745291" w:rsidRDefault="00273ED5">
            <w:pPr>
              <w:rPr>
                <w:rFonts w:hint="eastAsia"/>
              </w:rPr>
            </w:pPr>
            <w:r>
              <w:rPr>
                <w:b/>
                <w:sz w:val="19"/>
              </w:rPr>
              <w:t>Pieza:</w:t>
            </w:r>
          </w:p>
        </w:tc>
        <w:tc>
          <w:tcPr>
            <w:tcW w:w="4968" w:type="dxa"/>
            <w:shd w:val="clear" w:color="auto" w:fill="EDEDED"/>
            <w:vAlign w:val="center"/>
          </w:tcPr>
          <w:p w14:paraId="7BFA1DD8" w14:textId="77777777" w:rsidR="00745291" w:rsidRDefault="00273ED5">
            <w:pPr>
              <w:rPr>
                <w:rFonts w:hint="eastAsia"/>
              </w:rPr>
            </w:pPr>
            <w:r>
              <w:rPr>
                <w:b/>
                <w:sz w:val="19"/>
              </w:rPr>
              <w:t>Qué se entrega:</w:t>
            </w:r>
          </w:p>
        </w:tc>
      </w:tr>
      <w:tr w:rsidR="00745291" w14:paraId="63F7DCE1" w14:textId="77777777">
        <w:trPr>
          <w:jc w:val="center"/>
        </w:trPr>
        <w:tc>
          <w:tcPr>
            <w:tcW w:w="4968" w:type="dxa"/>
            <w:vAlign w:val="center"/>
          </w:tcPr>
          <w:p w14:paraId="5950F85E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Despliegue público</w:t>
            </w:r>
          </w:p>
        </w:tc>
        <w:tc>
          <w:tcPr>
            <w:tcW w:w="4968" w:type="dxa"/>
            <w:vAlign w:val="center"/>
          </w:tcPr>
          <w:p w14:paraId="12550D9C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Frontend en</w:t>
            </w:r>
            <w:r>
              <w:rPr>
                <w:sz w:val="19"/>
              </w:rPr>
              <w:t xml:space="preserve"> una URL pública (o APK instalable) que consume la API pública. La API responde en GET /api/v1/salud. La base de datos es la de producción, no la local</w:t>
            </w:r>
          </w:p>
        </w:tc>
      </w:tr>
      <w:tr w:rsidR="00745291" w14:paraId="7535B7EC" w14:textId="77777777">
        <w:trPr>
          <w:jc w:val="center"/>
        </w:trPr>
        <w:tc>
          <w:tcPr>
            <w:tcW w:w="4968" w:type="dxa"/>
            <w:vAlign w:val="center"/>
          </w:tcPr>
          <w:p w14:paraId="36E1A152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Login</w:t>
            </w:r>
          </w:p>
        </w:tc>
        <w:tc>
          <w:tcPr>
            <w:tcW w:w="4968" w:type="dxa"/>
            <w:vAlign w:val="center"/>
          </w:tcPr>
          <w:p w14:paraId="08F68AC1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Un usuario de prueba, con datos ficticios, entra al sistema desplegado</w:t>
            </w:r>
          </w:p>
        </w:tc>
      </w:tr>
      <w:tr w:rsidR="00745291" w14:paraId="197B7144" w14:textId="77777777">
        <w:trPr>
          <w:jc w:val="center"/>
        </w:trPr>
        <w:tc>
          <w:tcPr>
            <w:tcW w:w="4968" w:type="dxa"/>
            <w:vAlign w:val="center"/>
          </w:tcPr>
          <w:p w14:paraId="28DDC036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CRUD de la entidad princi</w:t>
            </w:r>
            <w:r>
              <w:rPr>
                <w:sz w:val="19"/>
              </w:rPr>
              <w:t>pal.</w:t>
            </w:r>
          </w:p>
        </w:tc>
        <w:tc>
          <w:tcPr>
            <w:tcW w:w="4968" w:type="dxa"/>
            <w:vAlign w:val="center"/>
          </w:tcPr>
          <w:p w14:paraId="5E23AB9C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Crear, listar, editar y dar de baja, de punta a punta, conforme al contrato de API del documento</w:t>
            </w:r>
          </w:p>
        </w:tc>
      </w:tr>
      <w:tr w:rsidR="00745291" w14:paraId="33FCA370" w14:textId="77777777">
        <w:trPr>
          <w:jc w:val="center"/>
        </w:trPr>
        <w:tc>
          <w:tcPr>
            <w:tcW w:w="4968" w:type="dxa"/>
            <w:vAlign w:val="center"/>
          </w:tcPr>
          <w:p w14:paraId="2FB4FF44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Frontend navegable</w:t>
            </w:r>
          </w:p>
        </w:tc>
        <w:tc>
          <w:tcPr>
            <w:tcW w:w="4968" w:type="dxa"/>
            <w:vAlign w:val="center"/>
          </w:tcPr>
          <w:p w14:paraId="4DB1AB12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 xml:space="preserve">Las pantallas del flujo con datos reales de la API y sus cuatro estados: cargando, vacío, error y con datos. Los errores de la API </w:t>
            </w:r>
            <w:r>
              <w:rPr>
                <w:sz w:val="19"/>
              </w:rPr>
              <w:t>se muestran al usuario</w:t>
            </w:r>
          </w:p>
        </w:tc>
      </w:tr>
      <w:tr w:rsidR="00A550C4" w14:paraId="58988F73" w14:textId="77777777">
        <w:trPr>
          <w:jc w:val="center"/>
        </w:trPr>
        <w:tc>
          <w:tcPr>
            <w:tcW w:w="4968" w:type="dxa"/>
            <w:vAlign w:val="center"/>
          </w:tcPr>
          <w:p w14:paraId="77647550" w14:textId="7F8826C3" w:rsidR="00A550C4" w:rsidRDefault="00A550C4">
            <w:pPr>
              <w:rPr>
                <w:sz w:val="19"/>
              </w:rPr>
            </w:pPr>
            <w:proofErr w:type="spellStart"/>
            <w:r>
              <w:t>Documento</w:t>
            </w:r>
            <w:proofErr w:type="spellEnd"/>
          </w:p>
        </w:tc>
        <w:tc>
          <w:tcPr>
            <w:tcW w:w="4968" w:type="dxa"/>
            <w:vAlign w:val="center"/>
          </w:tcPr>
          <w:p w14:paraId="63F567B6" w14:textId="76649E18" w:rsidR="00A550C4" w:rsidRDefault="00A550C4">
            <w:pPr>
              <w:rPr>
                <w:sz w:val="19"/>
              </w:rPr>
            </w:pPr>
            <w:proofErr w:type="spellStart"/>
            <w:r>
              <w:t>Apartados</w:t>
            </w:r>
            <w:proofErr w:type="spellEnd"/>
            <w:r>
              <w:t xml:space="preserve"> 2.4, 2.5 y 2.6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borrador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del E1, con las </w:t>
            </w:r>
            <w:proofErr w:type="spellStart"/>
            <w:r>
              <w:t>observaciones</w:t>
            </w:r>
            <w:proofErr w:type="spellEnd"/>
            <w:r>
              <w:t xml:space="preserve"> del E1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corregidas</w:t>
            </w:r>
            <w:proofErr w:type="spellEnd"/>
          </w:p>
        </w:tc>
      </w:tr>
      <w:tr w:rsidR="00A550C4" w14:paraId="1E7B1E08" w14:textId="77777777">
        <w:trPr>
          <w:jc w:val="center"/>
        </w:trPr>
        <w:tc>
          <w:tcPr>
            <w:tcW w:w="4968" w:type="dxa"/>
            <w:vAlign w:val="center"/>
          </w:tcPr>
          <w:p w14:paraId="6D387CD5" w14:textId="1A9A6BAC" w:rsidR="00A550C4" w:rsidRDefault="00A550C4">
            <w:proofErr w:type="spellStart"/>
            <w:r>
              <w:t>Repositorio</w:t>
            </w:r>
            <w:proofErr w:type="spellEnd"/>
          </w:p>
        </w:tc>
        <w:tc>
          <w:tcPr>
            <w:tcW w:w="4968" w:type="dxa"/>
            <w:vAlign w:val="center"/>
          </w:tcPr>
          <w:p w14:paraId="2B19F93B" w14:textId="31EB0D21" w:rsidR="00A550C4" w:rsidRDefault="00A550C4">
            <w:r>
              <w:t xml:space="preserve">Commits </w:t>
            </w:r>
            <w:proofErr w:type="spellStart"/>
            <w:r>
              <w:t>en</w:t>
            </w:r>
            <w:proofErr w:type="spellEnd"/>
            <w:r>
              <w:t xml:space="preserve"> días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la </w:t>
            </w:r>
            <w:proofErr w:type="spellStart"/>
            <w:r>
              <w:t>semana</w:t>
            </w:r>
            <w:proofErr w:type="spellEnd"/>
            <w:r>
              <w:t xml:space="preserve">, README </w:t>
            </w:r>
            <w:proofErr w:type="spellStart"/>
            <w:r>
              <w:t>actualizado</w:t>
            </w:r>
            <w:proofErr w:type="spellEnd"/>
            <w:r>
              <w:t xml:space="preserve"> con la URL</w:t>
            </w:r>
            <w:proofErr w:type="gramStart"/>
            <w:r>
              <w:t>, .env</w:t>
            </w:r>
            <w:proofErr w:type="gramEnd"/>
            <w:r>
              <w:t xml:space="preserve"> </w:t>
            </w:r>
            <w:proofErr w:type="spellStart"/>
            <w:r>
              <w:t>fuera</w:t>
            </w:r>
            <w:proofErr w:type="spellEnd"/>
            <w:r>
              <w:t xml:space="preserve"> del </w:t>
            </w:r>
            <w:proofErr w:type="spellStart"/>
            <w:r>
              <w:t>repositorio</w:t>
            </w:r>
            <w:proofErr w:type="spellEnd"/>
          </w:p>
        </w:tc>
      </w:tr>
    </w:tbl>
    <w:p w14:paraId="2F5A2714" w14:textId="26E4E798" w:rsidR="00745291" w:rsidRDefault="00273ED5">
      <w:pPr>
        <w:spacing w:after="100"/>
        <w:rPr>
          <w:rFonts w:hint="eastAsia"/>
        </w:rPr>
      </w:pPr>
      <w:r>
        <w:tab/>
      </w:r>
    </w:p>
    <w:p w14:paraId="3099F2A6" w14:textId="77777777" w:rsidR="00745291" w:rsidRDefault="00273ED5">
      <w:pPr>
        <w:rPr>
          <w:rFonts w:hint="eastAsia"/>
        </w:rPr>
      </w:pPr>
      <w:r>
        <w:rPr>
          <w:b/>
          <w:sz w:val="22"/>
        </w:rPr>
        <w:t>Lo que todavía no se pide</w:t>
      </w:r>
    </w:p>
    <w:p w14:paraId="1CFE8F9E" w14:textId="77777777" w:rsidR="00745291" w:rsidRDefault="00273ED5">
      <w:pPr>
        <w:spacing w:after="100"/>
        <w:rPr>
          <w:rFonts w:hint="eastAsia"/>
        </w:rPr>
      </w:pPr>
      <w:r>
        <w:t>Los roles completos con autorización en cada ruta, la batería de pruebas con evidencia (apartado 2.8) y los Capítulos 1 y 2 completos corresponden al E3. Los manuales y el despliegue verificado final, al E4. Si ya los tienen,</w:t>
      </w:r>
      <w:r>
        <w:t xml:space="preserve"> súmenlos; no restan.</w:t>
      </w:r>
    </w:p>
    <w:p w14:paraId="6CD8548C" w14:textId="77777777" w:rsidR="00745291" w:rsidRDefault="00273ED5">
      <w:pPr>
        <w:spacing w:before="160" w:after="100"/>
        <w:rPr>
          <w:rFonts w:hint="eastAsia"/>
        </w:rPr>
      </w:pPr>
      <w:r>
        <w:rPr>
          <w:b/>
          <w:sz w:val="28"/>
        </w:rPr>
        <w:t>2. Cómo se entrega</w:t>
      </w:r>
    </w:p>
    <w:p w14:paraId="423068E2" w14:textId="77777777" w:rsidR="00745291" w:rsidRDefault="00273ED5">
      <w:pPr>
        <w:spacing w:after="100"/>
        <w:rPr>
          <w:rFonts w:hint="eastAsia"/>
        </w:rPr>
      </w:pPr>
      <w:r>
        <w:t>En la tarea "E2 · Vertical funcional" se sube:</w:t>
      </w:r>
    </w:p>
    <w:p w14:paraId="563480D7" w14:textId="77777777" w:rsidR="00745291" w:rsidRPr="00A550C4" w:rsidRDefault="00273ED5" w:rsidP="00A550C4">
      <w:pPr>
        <w:ind w:firstLine="720"/>
        <w:rPr>
          <w:rFonts w:hint="eastAsia"/>
          <w:bCs/>
        </w:rPr>
      </w:pPr>
      <w:r w:rsidRPr="00A550C4">
        <w:rPr>
          <w:bCs/>
        </w:rPr>
        <w:t>1. El documento en PDF con el nombre Apellido_Nombre_E2.pdf.</w:t>
      </w:r>
    </w:p>
    <w:p w14:paraId="373F90AC" w14:textId="77777777" w:rsidR="00745291" w:rsidRPr="00A550C4" w:rsidRDefault="00273ED5">
      <w:pPr>
        <w:spacing w:after="100"/>
        <w:rPr>
          <w:rFonts w:hint="eastAsia"/>
        </w:rPr>
      </w:pPr>
      <w:r>
        <w:tab/>
      </w:r>
      <w:r w:rsidRPr="00A550C4">
        <w:t>2. En el campo de texto de la entrega, estos cinco datos, uno por línea:</w:t>
      </w:r>
    </w:p>
    <w:p w14:paraId="1C9DE4C9" w14:textId="77777777" w:rsidR="00745291" w:rsidRPr="00A550C4" w:rsidRDefault="00273ED5" w:rsidP="00A550C4">
      <w:pPr>
        <w:spacing w:after="0"/>
        <w:rPr>
          <w:rFonts w:ascii="Courier New" w:hAnsi="Courier New" w:cs="Courier New"/>
        </w:rPr>
      </w:pPr>
      <w:r w:rsidRPr="00A550C4">
        <w:rPr>
          <w:rFonts w:ascii="Courier New" w:hAnsi="Courier New" w:cs="Courier New"/>
        </w:rPr>
        <w:t>Frontend (URL pública o enlace al</w:t>
      </w:r>
      <w:r w:rsidRPr="00A550C4">
        <w:rPr>
          <w:rFonts w:ascii="Courier New" w:hAnsi="Courier New" w:cs="Courier New"/>
        </w:rPr>
        <w:t xml:space="preserve"> APK): https://...</w:t>
      </w:r>
    </w:p>
    <w:p w14:paraId="705EC5BD" w14:textId="77777777" w:rsidR="00745291" w:rsidRPr="00A550C4" w:rsidRDefault="00273ED5" w:rsidP="00A550C4">
      <w:pPr>
        <w:spacing w:after="0"/>
        <w:rPr>
          <w:rFonts w:ascii="Courier New" w:hAnsi="Courier New" w:cs="Courier New"/>
        </w:rPr>
      </w:pPr>
      <w:r w:rsidRPr="00A550C4">
        <w:rPr>
          <w:rFonts w:ascii="Courier New" w:hAnsi="Courier New" w:cs="Courier New"/>
        </w:rPr>
        <w:t>API (ruta de salud): https://.../api/v1/salud</w:t>
      </w:r>
    </w:p>
    <w:p w14:paraId="7ED4D1E0" w14:textId="77777777" w:rsidR="00745291" w:rsidRPr="00A550C4" w:rsidRDefault="00273ED5" w:rsidP="00A550C4">
      <w:pPr>
        <w:spacing w:after="0"/>
        <w:rPr>
          <w:rFonts w:ascii="Courier New" w:hAnsi="Courier New" w:cs="Courier New"/>
        </w:rPr>
      </w:pPr>
      <w:r w:rsidRPr="00A550C4">
        <w:rPr>
          <w:rFonts w:ascii="Courier New" w:hAnsi="Courier New" w:cs="Courier New"/>
        </w:rPr>
        <w:t>Repositorio: https://...</w:t>
      </w:r>
    </w:p>
    <w:p w14:paraId="45848612" w14:textId="77777777" w:rsidR="00745291" w:rsidRPr="00A550C4" w:rsidRDefault="00273ED5" w:rsidP="00A550C4">
      <w:pPr>
        <w:spacing w:after="0"/>
        <w:rPr>
          <w:rFonts w:ascii="Courier New" w:hAnsi="Courier New" w:cs="Courier New"/>
        </w:rPr>
      </w:pPr>
      <w:r w:rsidRPr="00A550C4">
        <w:rPr>
          <w:rFonts w:ascii="Courier New" w:hAnsi="Courier New" w:cs="Courier New"/>
        </w:rPr>
        <w:t>Usuario de prueba: correo / contraseña (datos ficticios)</w:t>
      </w:r>
    </w:p>
    <w:p w14:paraId="08183895" w14:textId="77777777" w:rsidR="00745291" w:rsidRDefault="00273ED5" w:rsidP="00A550C4">
      <w:pPr>
        <w:spacing w:after="0"/>
        <w:rPr>
          <w:rFonts w:hint="eastAsia"/>
        </w:rPr>
      </w:pPr>
      <w:r w:rsidRPr="00A550C4">
        <w:rPr>
          <w:rFonts w:ascii="Courier New" w:hAnsi="Courier New" w:cs="Courier New"/>
        </w:rPr>
        <w:t>Flujo Must implementado: RF-XX · nombre del requisito</w:t>
      </w:r>
    </w:p>
    <w:p w14:paraId="243F7004" w14:textId="77777777" w:rsidR="00745291" w:rsidRDefault="00273ED5">
      <w:pPr>
        <w:spacing w:after="100"/>
        <w:rPr>
          <w:rFonts w:hint="eastAsia"/>
        </w:rPr>
      </w:pPr>
      <w:r>
        <w:t>Si el proyecto tiene web y móvil, se indican ambas dire</w:t>
      </w:r>
      <w:r>
        <w:t>cciones y a qué rol corresponde cada una.</w:t>
      </w:r>
    </w:p>
    <w:p w14:paraId="30B912A9" w14:textId="77777777" w:rsidR="00745291" w:rsidRDefault="00273ED5">
      <w:pPr>
        <w:spacing w:after="100"/>
        <w:rPr>
          <w:rFonts w:hint="eastAsia"/>
        </w:rPr>
      </w:pPr>
      <w:r>
        <w:t>El usuario de prueba es ficticio y existe solo para la revisión. Nunca se entregan credenciales de la base de datos, claves de servicio ni el contenido del .env.</w:t>
      </w:r>
    </w:p>
    <w:p w14:paraId="470DA2A1" w14:textId="77777777" w:rsidR="00745291" w:rsidRDefault="00273ED5">
      <w:pPr>
        <w:spacing w:after="100"/>
        <w:rPr>
          <w:rFonts w:hint="eastAsia"/>
        </w:rPr>
      </w:pPr>
      <w:r>
        <w:t>Plazo y entrega tardía</w:t>
      </w:r>
    </w:p>
    <w:p w14:paraId="7124CE08" w14:textId="77777777" w:rsidR="00745291" w:rsidRDefault="00273ED5">
      <w:pPr>
        <w:pStyle w:val="Listaconvietas"/>
        <w:spacing w:after="40"/>
        <w:rPr>
          <w:rFonts w:hint="eastAsia"/>
        </w:rPr>
      </w:pPr>
      <w:r>
        <w:t>La entrega cierra el sábado 2</w:t>
      </w:r>
      <w:r>
        <w:t>6 de septiembre a las 23:59.</w:t>
      </w:r>
    </w:p>
    <w:p w14:paraId="2C00F70D" w14:textId="77777777" w:rsidR="00745291" w:rsidRDefault="00273ED5">
      <w:pPr>
        <w:pStyle w:val="Listaconvietas"/>
        <w:spacing w:after="40"/>
        <w:rPr>
          <w:rFonts w:hint="eastAsia"/>
        </w:rPr>
      </w:pPr>
      <w:r>
        <w:lastRenderedPageBreak/>
        <w:t>Se admite hasta 72 horas de atraso, con 10 puntos porcentuales menos por día. Pasadas las 72 horas la entrega no se recibe.</w:t>
      </w:r>
    </w:p>
    <w:p w14:paraId="3C128829" w14:textId="77777777" w:rsidR="00745291" w:rsidRDefault="00273ED5">
      <w:pPr>
        <w:pStyle w:val="Listaconvietas"/>
        <w:spacing w:after="40"/>
        <w:rPr>
          <w:rFonts w:hint="eastAsia"/>
        </w:rPr>
      </w:pPr>
      <w:r>
        <w:t xml:space="preserve">El Cuestionario Q2 es una actividad aparte (5 % de la nota), cierra a la misma hora y no admite </w:t>
      </w:r>
      <w:r>
        <w:t>atraso.</w:t>
      </w:r>
    </w:p>
    <w:p w14:paraId="2DFE6FF3" w14:textId="77777777" w:rsidR="00745291" w:rsidRDefault="00273ED5">
      <w:pPr>
        <w:spacing w:before="160" w:after="100"/>
        <w:rPr>
          <w:rFonts w:hint="eastAsia"/>
        </w:rPr>
      </w:pPr>
      <w:r>
        <w:rPr>
          <w:b/>
          <w:sz w:val="28"/>
        </w:rPr>
        <w:t>3. Antes de enviar, esta lista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745291" w14:paraId="0F06A6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15199C11" w14:textId="77777777" w:rsidR="00745291" w:rsidRDefault="00273ED5">
            <w:pPr>
              <w:rPr>
                <w:rFonts w:hint="eastAsia"/>
              </w:rPr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4968" w:type="dxa"/>
            <w:shd w:val="clear" w:color="auto" w:fill="EDEDED"/>
            <w:vAlign w:val="center"/>
          </w:tcPr>
          <w:p w14:paraId="1284E30A" w14:textId="77777777" w:rsidR="00745291" w:rsidRDefault="00273ED5">
            <w:pPr>
              <w:rPr>
                <w:rFonts w:hint="eastAsia"/>
              </w:rPr>
            </w:pPr>
            <w:r>
              <w:rPr>
                <w:b/>
                <w:sz w:val="19"/>
              </w:rPr>
              <w:t>Cómo se comprueba</w:t>
            </w:r>
          </w:p>
        </w:tc>
      </w:tr>
      <w:tr w:rsidR="00745291" w14:paraId="2FC8239B" w14:textId="77777777">
        <w:trPr>
          <w:jc w:val="center"/>
        </w:trPr>
        <w:tc>
          <w:tcPr>
            <w:tcW w:w="4968" w:type="dxa"/>
            <w:vAlign w:val="center"/>
          </w:tcPr>
          <w:p w14:paraId="0D234C92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La URL abre en una ventana de incógnito</w:t>
            </w:r>
          </w:p>
        </w:tc>
        <w:tc>
          <w:tcPr>
            <w:tcW w:w="4968" w:type="dxa"/>
            <w:vAlign w:val="center"/>
          </w:tcPr>
          <w:p w14:paraId="1E3D468C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Desde otro dispositivo, sin su sesión</w:t>
            </w:r>
          </w:p>
        </w:tc>
      </w:tr>
      <w:tr w:rsidR="00745291" w14:paraId="3E055CF3" w14:textId="77777777">
        <w:trPr>
          <w:jc w:val="center"/>
        </w:trPr>
        <w:tc>
          <w:tcPr>
            <w:tcW w:w="4968" w:type="dxa"/>
            <w:vAlign w:val="center"/>
          </w:tcPr>
          <w:p w14:paraId="2C0AB45F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El repositorio abre en incógnito</w:t>
            </w:r>
          </w:p>
        </w:tc>
        <w:tc>
          <w:tcPr>
            <w:tcW w:w="4968" w:type="dxa"/>
            <w:vAlign w:val="center"/>
          </w:tcPr>
          <w:p w14:paraId="31B669CB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Público o con acceso dado al docente</w:t>
            </w:r>
          </w:p>
        </w:tc>
      </w:tr>
      <w:tr w:rsidR="00745291" w14:paraId="50EE7BB3" w14:textId="77777777">
        <w:trPr>
          <w:jc w:val="center"/>
        </w:trPr>
        <w:tc>
          <w:tcPr>
            <w:tcW w:w="4968" w:type="dxa"/>
            <w:vAlign w:val="center"/>
          </w:tcPr>
          <w:p w14:paraId="6ECBA5B3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El login funciona en producci</w:t>
            </w:r>
            <w:r>
              <w:rPr>
                <w:sz w:val="19"/>
              </w:rPr>
              <w:t>ón</w:t>
            </w:r>
          </w:p>
        </w:tc>
        <w:tc>
          <w:tcPr>
            <w:tcW w:w="4968" w:type="dxa"/>
            <w:vAlign w:val="center"/>
          </w:tcPr>
          <w:p w14:paraId="15A0B28D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Con el usuario de prueba que declaran en la entrega</w:t>
            </w:r>
          </w:p>
        </w:tc>
      </w:tr>
      <w:tr w:rsidR="00745291" w14:paraId="0B6E04FD" w14:textId="77777777">
        <w:trPr>
          <w:jc w:val="center"/>
        </w:trPr>
        <w:tc>
          <w:tcPr>
            <w:tcW w:w="4968" w:type="dxa"/>
            <w:vAlign w:val="center"/>
          </w:tcPr>
          <w:p w14:paraId="680C6FDF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El CRUD principal funciona en línea</w:t>
            </w:r>
          </w:p>
        </w:tc>
        <w:tc>
          <w:tcPr>
            <w:tcW w:w="4968" w:type="dxa"/>
            <w:vAlign w:val="center"/>
          </w:tcPr>
          <w:p w14:paraId="402CA2CA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Crear, listar, editar y dar de baja</w:t>
            </w:r>
          </w:p>
        </w:tc>
      </w:tr>
      <w:tr w:rsidR="00745291" w14:paraId="15CFD18D" w14:textId="77777777">
        <w:trPr>
          <w:jc w:val="center"/>
        </w:trPr>
        <w:tc>
          <w:tcPr>
            <w:tcW w:w="4968" w:type="dxa"/>
            <w:vAlign w:val="center"/>
          </w:tcPr>
          <w:p w14:paraId="16C21D14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La app no apunta a localhost</w:t>
            </w:r>
          </w:p>
        </w:tc>
        <w:tc>
          <w:tcPr>
            <w:tcW w:w="4968" w:type="dxa"/>
            <w:vAlign w:val="center"/>
          </w:tcPr>
          <w:p w14:paraId="2FE24077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Ni a la IP de su casa: apunta a la API pública</w:t>
            </w:r>
          </w:p>
        </w:tc>
      </w:tr>
      <w:tr w:rsidR="00745291" w14:paraId="06658711" w14:textId="77777777">
        <w:trPr>
          <w:jc w:val="center"/>
        </w:trPr>
        <w:tc>
          <w:tcPr>
            <w:tcW w:w="4968" w:type="dxa"/>
            <w:vAlign w:val="center"/>
          </w:tcPr>
          <w:p w14:paraId="60A6CA2A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 hay secretos en el repositorio</w:t>
            </w:r>
          </w:p>
        </w:tc>
        <w:tc>
          <w:tcPr>
            <w:tcW w:w="4968" w:type="dxa"/>
            <w:vAlign w:val="center"/>
          </w:tcPr>
          <w:p w14:paraId="79A69315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 xml:space="preserve">Ni </w:t>
            </w:r>
            <w:r>
              <w:rPr>
                <w:sz w:val="19"/>
              </w:rPr>
              <w:t>.env, ni claves en el código, ni en el historial</w:t>
            </w:r>
          </w:p>
        </w:tc>
      </w:tr>
      <w:tr w:rsidR="00745291" w14:paraId="3A571814" w14:textId="77777777">
        <w:trPr>
          <w:jc w:val="center"/>
        </w:trPr>
        <w:tc>
          <w:tcPr>
            <w:tcW w:w="4968" w:type="dxa"/>
            <w:vAlign w:val="center"/>
          </w:tcPr>
          <w:p w14:paraId="7FFB4328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El documento no tiene restos</w:t>
            </w:r>
          </w:p>
        </w:tc>
        <w:tc>
          <w:tcPr>
            <w:tcW w:w="4968" w:type="dxa"/>
            <w:vAlign w:val="center"/>
          </w:tcPr>
          <w:p w14:paraId="654C4745" w14:textId="77777777" w:rsidR="00745291" w:rsidRDefault="00273ED5">
            <w:pPr>
              <w:rPr>
                <w:rFonts w:hint="eastAsia"/>
              </w:rPr>
            </w:pPr>
            <w:r>
              <w:rPr>
                <w:sz w:val="19"/>
              </w:rPr>
              <w:t>Sin [PENDIENTE], sin [recurso], sin textos de plantilla ni hojas de verificación</w:t>
            </w:r>
          </w:p>
        </w:tc>
      </w:tr>
    </w:tbl>
    <w:p w14:paraId="3A439454" w14:textId="77777777" w:rsidR="00273ED5" w:rsidRDefault="00273ED5"/>
    <w:sectPr w:rsidR="00273ED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ED5"/>
    <w:rsid w:val="0029639D"/>
    <w:rsid w:val="00326F90"/>
    <w:rsid w:val="00745291"/>
    <w:rsid w:val="00A550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B335F"/>
  <w14:defaultImageDpi w14:val="300"/>
  <w15:docId w15:val="{9048B581-C9CA-4E62-A2F8-5495663B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Mamani Mamani</cp:lastModifiedBy>
  <cp:revision>2</cp:revision>
  <dcterms:created xsi:type="dcterms:W3CDTF">2026-09-23T15:10:00Z</dcterms:created>
  <dcterms:modified xsi:type="dcterms:W3CDTF">2026-09-23T15:10:00Z</dcterms:modified>
  <cp:category/>
</cp:coreProperties>
</file>