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C2E" w:rsidRDefault="00AE6C2E" w:rsidP="00AE6C2E">
      <w:pPr>
        <w:ind w:left="-709"/>
      </w:pPr>
      <w:r w:rsidRPr="00AE6C2E">
        <w:rPr>
          <w:noProof/>
          <w:lang w:eastAsia="fr-FR"/>
        </w:rPr>
        <w:drawing>
          <wp:inline distT="0" distB="0" distL="0" distR="0">
            <wp:extent cx="7536296" cy="1246909"/>
            <wp:effectExtent l="19050" t="0" r="7504" b="0"/>
            <wp:docPr id="1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2658" cy="12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>
      <w:pPr>
        <w:jc w:val="center"/>
        <w:rPr>
          <w:lang w:eastAsia="zh-CN"/>
        </w:rPr>
      </w:pPr>
      <w:r>
        <w:rPr>
          <w:noProof/>
          <w:lang w:eastAsia="fr-FR"/>
        </w:rPr>
        <w:drawing>
          <wp:inline distT="0" distB="0" distL="0" distR="0">
            <wp:extent cx="5309870" cy="3853180"/>
            <wp:effectExtent l="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C2E" w:rsidRPr="00AE6C2E" w:rsidRDefault="00AE6C2E" w:rsidP="00AE6C2E">
      <w:pPr>
        <w:rPr>
          <w:lang w:eastAsia="zh-CN"/>
        </w:rPr>
      </w:pPr>
    </w:p>
    <w:p w:rsidR="00AE6C2E" w:rsidRDefault="00AE6C2E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eastAsia="zh-CN"/>
        </w:rPr>
      </w:pPr>
      <w:r>
        <w:br w:type="page"/>
      </w:r>
    </w:p>
    <w:p w:rsidR="00B53892" w:rsidRDefault="000C627F" w:rsidP="00AE6C2E">
      <w:pPr>
        <w:pStyle w:val="Titre"/>
      </w:pPr>
      <w:r>
        <w:lastRenderedPageBreak/>
        <w:t>Algorithme de matérialisation partielle</w:t>
      </w:r>
      <w:r w:rsidR="00110444">
        <w:t xml:space="preserve"> </w:t>
      </w:r>
      <w:r w:rsidR="00B53892" w:rsidRPr="00146668">
        <w:t>– Projet ODE</w:t>
      </w:r>
    </w:p>
    <w:tbl>
      <w:tblPr>
        <w:tblW w:w="10598" w:type="dxa"/>
        <w:tblBorders>
          <w:bottom w:val="single" w:sz="2" w:space="0" w:color="auto"/>
        </w:tblBorders>
        <w:tblLook w:val="04A0"/>
      </w:tblPr>
      <w:tblGrid>
        <w:gridCol w:w="2003"/>
        <w:gridCol w:w="1984"/>
        <w:gridCol w:w="6611"/>
      </w:tblGrid>
      <w:tr w:rsidR="00AE6C2E" w:rsidTr="00AE6C2E">
        <w:trPr>
          <w:cantSplit/>
          <w:trHeight w:val="408"/>
        </w:trPr>
        <w:tc>
          <w:tcPr>
            <w:tcW w:w="10598" w:type="dxa"/>
            <w:gridSpan w:val="3"/>
            <w:shd w:val="clear" w:color="auto" w:fill="005AA2"/>
          </w:tcPr>
          <w:p w:rsidR="00AE6C2E" w:rsidRPr="009E7964" w:rsidRDefault="00AE6C2E" w:rsidP="00951CFA">
            <w:pPr>
              <w:suppressAutoHyphens/>
              <w:spacing w:after="0"/>
              <w:jc w:val="center"/>
              <w:rPr>
                <w:b/>
                <w:color w:val="FFFFFF"/>
              </w:rPr>
            </w:pPr>
            <w:r w:rsidRPr="009E7964">
              <w:rPr>
                <w:b/>
                <w:color w:val="FFFFFF"/>
              </w:rPr>
              <w:t>Suivi des versions</w:t>
            </w:r>
          </w:p>
        </w:tc>
      </w:tr>
      <w:tr w:rsidR="00AE6C2E" w:rsidTr="00AE6C2E">
        <w:trPr>
          <w:cantSplit/>
          <w:trHeight w:val="390"/>
        </w:trPr>
        <w:tc>
          <w:tcPr>
            <w:tcW w:w="2003" w:type="dxa"/>
            <w:shd w:val="clear" w:color="auto" w:fill="BCD5EC"/>
          </w:tcPr>
          <w:p w:rsidR="00AE6C2E" w:rsidRPr="009E7964" w:rsidRDefault="00AE6C2E" w:rsidP="00951CFA">
            <w:pPr>
              <w:spacing w:after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Date</w:t>
            </w:r>
          </w:p>
        </w:tc>
        <w:tc>
          <w:tcPr>
            <w:tcW w:w="1984" w:type="dxa"/>
            <w:shd w:val="clear" w:color="auto" w:fill="BCD5EC"/>
          </w:tcPr>
          <w:p w:rsidR="00AE6C2E" w:rsidRPr="009E7964" w:rsidRDefault="00AE6C2E" w:rsidP="00951CFA">
            <w:pPr>
              <w:spacing w:after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Version</w:t>
            </w:r>
          </w:p>
        </w:tc>
        <w:tc>
          <w:tcPr>
            <w:tcW w:w="6611" w:type="dxa"/>
            <w:shd w:val="clear" w:color="auto" w:fill="BCD5EC"/>
          </w:tcPr>
          <w:p w:rsidR="00AE6C2E" w:rsidRPr="009E7964" w:rsidRDefault="00AE6C2E" w:rsidP="00951CFA">
            <w:pPr>
              <w:tabs>
                <w:tab w:val="left" w:pos="3627"/>
              </w:tabs>
              <w:spacing w:after="0"/>
              <w:ind w:right="229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Objet de la version</w:t>
            </w: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FFFFFF"/>
          </w:tcPr>
          <w:p w:rsidR="00AE6C2E" w:rsidRPr="00C14EDF" w:rsidRDefault="000C627F" w:rsidP="0072128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02/08</w:t>
            </w:r>
            <w:r w:rsidR="00AE6C2E">
              <w:rPr>
                <w:color w:val="000000"/>
              </w:rPr>
              <w:t>/</w:t>
            </w:r>
            <w:r>
              <w:rPr>
                <w:color w:val="000000"/>
              </w:rPr>
              <w:t>2015</w:t>
            </w:r>
          </w:p>
        </w:tc>
        <w:tc>
          <w:tcPr>
            <w:tcW w:w="1984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6611" w:type="dxa"/>
            <w:shd w:val="clear" w:color="auto" w:fill="FFFFFF"/>
          </w:tcPr>
          <w:p w:rsidR="00AE6C2E" w:rsidRPr="00C14EDF" w:rsidRDefault="00EA5D49" w:rsidP="0072128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0C627F">
              <w:rPr>
                <w:color w:val="000000"/>
              </w:rPr>
              <w:t>OLIVIER</w:t>
            </w:r>
            <w:r>
              <w:rPr>
                <w:color w:val="000000"/>
              </w:rPr>
              <w:t xml:space="preserve">] </w:t>
            </w:r>
            <w:r w:rsidR="00AE6C2E" w:rsidRPr="00C14EDF">
              <w:rPr>
                <w:color w:val="000000"/>
              </w:rPr>
              <w:t>Création du docume</w:t>
            </w:r>
            <w:r w:rsidR="00AE6C2E">
              <w:rPr>
                <w:color w:val="000000"/>
              </w:rPr>
              <w:t>nt</w:t>
            </w: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BCD5EC"/>
          </w:tcPr>
          <w:p w:rsidR="00BE6E85" w:rsidRPr="00C14EDF" w:rsidRDefault="00BE6E85" w:rsidP="002E0AFF">
            <w:pPr>
              <w:spacing w:after="0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BCD5EC"/>
          </w:tcPr>
          <w:p w:rsidR="002E0AFF" w:rsidRPr="00C14EDF" w:rsidRDefault="002E0AFF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6611" w:type="dxa"/>
            <w:shd w:val="clear" w:color="auto" w:fill="BCD5EC"/>
          </w:tcPr>
          <w:p w:rsidR="00BE6E85" w:rsidRPr="00C14EDF" w:rsidRDefault="00BE6E85" w:rsidP="002E0AFF">
            <w:pPr>
              <w:spacing w:after="0"/>
              <w:rPr>
                <w:color w:val="000000"/>
              </w:rPr>
            </w:pP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6611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</w:tr>
    </w:tbl>
    <w:p w:rsidR="00110444" w:rsidRPr="00110444" w:rsidRDefault="00110444" w:rsidP="00110444">
      <w:pPr>
        <w:rPr>
          <w:lang w:eastAsia="zh-C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95811"/>
        <w:docPartObj>
          <w:docPartGallery w:val="Table of Contents"/>
          <w:docPartUnique/>
        </w:docPartObj>
      </w:sdtPr>
      <w:sdtContent>
        <w:p w:rsidR="00110444" w:rsidRDefault="00110444">
          <w:pPr>
            <w:pStyle w:val="En-ttedetabledesmatires"/>
          </w:pPr>
          <w:r>
            <w:t>Sommaire</w:t>
          </w:r>
        </w:p>
        <w:p w:rsidR="00BE3AD9" w:rsidRDefault="00B77B2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110444">
            <w:instrText xml:space="preserve"> TOC \o "1-3" \h \z \u </w:instrText>
          </w:r>
          <w:r>
            <w:fldChar w:fldCharType="separate"/>
          </w:r>
          <w:hyperlink w:anchor="_Toc426298978" w:history="1">
            <w:r w:rsidR="00BE3AD9" w:rsidRPr="002E131C">
              <w:rPr>
                <w:rStyle w:val="Lienhypertexte"/>
                <w:noProof/>
              </w:rPr>
              <w:t>Analyse des dimensions du modèle de cube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79" w:history="1">
            <w:r w:rsidR="00BE3AD9" w:rsidRPr="002E131C">
              <w:rPr>
                <w:rStyle w:val="Lienhypertexte"/>
                <w:noProof/>
              </w:rPr>
              <w:t>Reports d’utilisation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0" w:history="1">
            <w:r w:rsidR="00BE3AD9" w:rsidRPr="002E131C">
              <w:rPr>
                <w:rStyle w:val="Lienhypertexte"/>
                <w:noProof/>
              </w:rPr>
              <w:t>Pour les métiers de la Direction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1" w:history="1">
            <w:r w:rsidR="00BE3AD9" w:rsidRPr="002E131C">
              <w:rPr>
                <w:rStyle w:val="Lienhypertexte"/>
                <w:noProof/>
              </w:rPr>
              <w:t>Pour les métiers du Marketing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2" w:history="1">
            <w:r w:rsidR="00BE3AD9" w:rsidRPr="002E131C">
              <w:rPr>
                <w:rStyle w:val="Lienhypertexte"/>
                <w:noProof/>
              </w:rPr>
              <w:t>Volumétrie de chaque attributs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3" w:history="1">
            <w:r w:rsidR="00BE3AD9" w:rsidRPr="002E131C">
              <w:rPr>
                <w:rStyle w:val="Lienhypertexte"/>
                <w:noProof/>
              </w:rPr>
              <w:t>Algorithme de matérialisation partielle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4" w:history="1">
            <w:r w:rsidR="00BE3AD9" w:rsidRPr="002E131C">
              <w:rPr>
                <w:rStyle w:val="Lienhypertexte"/>
                <w:noProof/>
              </w:rPr>
              <w:t>Entrées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5" w:history="1">
            <w:r w:rsidR="00BE3AD9" w:rsidRPr="002E131C">
              <w:rPr>
                <w:rStyle w:val="Lienhypertexte"/>
                <w:noProof/>
              </w:rPr>
              <w:t>Traitements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26298986" w:history="1">
            <w:r w:rsidR="00BE3AD9" w:rsidRPr="002E131C">
              <w:rPr>
                <w:rStyle w:val="Lienhypertexte"/>
                <w:noProof/>
              </w:rPr>
              <w:t>Volumétrie des combinaisons de dimensions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26298987" w:history="1">
            <w:r w:rsidR="00BE3AD9" w:rsidRPr="002E131C">
              <w:rPr>
                <w:rStyle w:val="Lienhypertexte"/>
                <w:noProof/>
              </w:rPr>
              <w:t>Initialisation de l’algorithme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26298988" w:history="1">
            <w:r w:rsidR="00BE3AD9" w:rsidRPr="002E131C">
              <w:rPr>
                <w:rStyle w:val="Lienhypertexte"/>
                <w:noProof/>
              </w:rPr>
              <w:t>Déroulé de l’algorithme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9" w:history="1">
            <w:r w:rsidR="00BE3AD9" w:rsidRPr="002E131C">
              <w:rPr>
                <w:rStyle w:val="Lienhypertexte"/>
                <w:noProof/>
              </w:rPr>
              <w:t>Sorties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0" w:history="1">
            <w:r w:rsidR="00BE3AD9" w:rsidRPr="002E131C">
              <w:rPr>
                <w:rStyle w:val="Lienhypertexte"/>
                <w:noProof/>
              </w:rPr>
              <w:t>Améliorations possibles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1" w:history="1">
            <w:r w:rsidR="00BE3AD9" w:rsidRPr="002E131C">
              <w:rPr>
                <w:rStyle w:val="Lienhypertexte"/>
                <w:noProof/>
              </w:rPr>
              <w:t>Affinement de la volumétrie de chaque attributs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2" w:history="1">
            <w:r w:rsidR="00BE3AD9" w:rsidRPr="002E131C">
              <w:rPr>
                <w:rStyle w:val="Lienhypertexte"/>
                <w:noProof/>
              </w:rPr>
              <w:t>Discrétisation de données continues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3" w:history="1">
            <w:r w:rsidR="00BE3AD9" w:rsidRPr="002E131C">
              <w:rPr>
                <w:rStyle w:val="Lienhypertexte"/>
                <w:noProof/>
              </w:rPr>
              <w:t>Impact de la hiérarchie des dimensions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4" w:history="1">
            <w:r w:rsidR="00BE3AD9" w:rsidRPr="002E131C">
              <w:rPr>
                <w:rStyle w:val="Lienhypertexte"/>
                <w:noProof/>
              </w:rPr>
              <w:t>Annexe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77B2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5" w:history="1">
            <w:r w:rsidR="00BE3AD9" w:rsidRPr="002E131C">
              <w:rPr>
                <w:rStyle w:val="Lienhypertexte"/>
                <w:noProof/>
              </w:rPr>
              <w:t>Script de volumétrie de l’entrepôt de données</w:t>
            </w:r>
            <w:r w:rsidR="00BE3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35" w:rsidRDefault="00B77B20" w:rsidP="00733F35">
          <w:r>
            <w:fldChar w:fldCharType="end"/>
          </w:r>
        </w:p>
      </w:sdtContent>
    </w:sdt>
    <w:p w:rsidR="007B3889" w:rsidRDefault="0015244D" w:rsidP="00733F35">
      <w:pPr>
        <w:pStyle w:val="Titre1"/>
      </w:pPr>
      <w:bookmarkStart w:id="0" w:name="_Toc426298978"/>
      <w:r>
        <w:lastRenderedPageBreak/>
        <w:t>Analyse des dimensions du modèle de cube</w:t>
      </w:r>
      <w:bookmarkEnd w:id="0"/>
    </w:p>
    <w:p w:rsidR="00733F35" w:rsidRDefault="00733F35" w:rsidP="00531385">
      <w:r>
        <w:rPr>
          <w:noProof/>
          <w:lang w:eastAsia="fr-FR"/>
        </w:rPr>
        <w:drawing>
          <wp:inline distT="0" distB="0" distL="0" distR="0">
            <wp:extent cx="6645910" cy="80956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ie_Dimens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3" w:rsidRDefault="003174A3" w:rsidP="00531385"/>
    <w:p w:rsidR="00733F35" w:rsidRDefault="00733F35" w:rsidP="00531385"/>
    <w:p w:rsidR="0015244D" w:rsidRDefault="0015244D" w:rsidP="00531385"/>
    <w:p w:rsidR="004E425F" w:rsidRDefault="004E425F" w:rsidP="00531385"/>
    <w:p w:rsidR="005365E6" w:rsidRDefault="001E64D2" w:rsidP="00531385">
      <w:r>
        <w:rPr>
          <w:noProof/>
          <w:lang w:eastAsia="fr-FR"/>
        </w:rPr>
        <w:lastRenderedPageBreak/>
        <w:drawing>
          <wp:inline distT="0" distB="0" distL="0" distR="0">
            <wp:extent cx="6645910" cy="38665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Cuboi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F" w:rsidRDefault="001363BF" w:rsidP="001363BF">
      <w:pPr>
        <w:pStyle w:val="Titre2"/>
      </w:pPr>
      <w:bookmarkStart w:id="1" w:name="_Toc426298982"/>
      <w:r>
        <w:t>Volumétrie de chaque attributs</w:t>
      </w:r>
      <w:bookmarkEnd w:id="1"/>
    </w:p>
    <w:p w:rsidR="001363BF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clients</w:t>
      </w:r>
      <w:r>
        <w:t>, il existe N</w:t>
      </w:r>
      <w:r w:rsidRPr="006D51F4">
        <w:rPr>
          <w:vertAlign w:val="subscript"/>
        </w:rPr>
        <w:t>C</w:t>
      </w:r>
      <w:r>
        <w:t xml:space="preserve"> enregistrements.</w:t>
      </w:r>
    </w:p>
    <w:p w:rsidR="001363BF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lieux</w:t>
      </w:r>
      <w:r>
        <w:t>, il existe N</w:t>
      </w:r>
      <w:r w:rsidRPr="006D51F4">
        <w:rPr>
          <w:vertAlign w:val="subscript"/>
        </w:rPr>
        <w:t>L</w:t>
      </w:r>
      <w:r>
        <w:t xml:space="preserve"> enregistrements.</w:t>
      </w:r>
    </w:p>
    <w:p w:rsidR="001363BF" w:rsidRPr="002B2DFA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 xml:space="preserve">Sur la dimension des </w:t>
      </w:r>
      <w:r w:rsidRPr="001363BF">
        <w:rPr>
          <w:b/>
        </w:rPr>
        <w:t>dates</w:t>
      </w:r>
      <w:r>
        <w:t>, il existe N</w:t>
      </w:r>
      <w:r w:rsidRPr="006D51F4">
        <w:rPr>
          <w:vertAlign w:val="subscript"/>
        </w:rPr>
        <w:t>D</w:t>
      </w:r>
      <w:r>
        <w:t xml:space="preserve"> enregistrements.</w:t>
      </w:r>
    </w:p>
    <w:p w:rsidR="001363BF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produits</w:t>
      </w:r>
      <w:r>
        <w:t>, il existe N</w:t>
      </w:r>
      <w:r w:rsidRPr="006D51F4">
        <w:rPr>
          <w:vertAlign w:val="subscript"/>
        </w:rPr>
        <w:t>P</w:t>
      </w:r>
      <w:r>
        <w:t xml:space="preserve"> enregistrements.</w:t>
      </w:r>
    </w:p>
    <w:p w:rsidR="009755EC" w:rsidRDefault="009755EC" w:rsidP="009755EC">
      <w:pPr>
        <w:ind w:right="440"/>
      </w:pPr>
      <w:r>
        <w:t xml:space="preserve">La </w:t>
      </w:r>
      <w:r w:rsidR="00267453">
        <w:t>modélisation</w:t>
      </w:r>
      <w:r>
        <w:t xml:space="preserve"> en flocon va </w:t>
      </w:r>
      <w:r w:rsidR="00267453">
        <w:t>permettre</w:t>
      </w:r>
      <w:r>
        <w:t xml:space="preserve"> de chiffrer ces volumes par de simples </w:t>
      </w:r>
      <w:r w:rsidR="00267453">
        <w:t>requêtes</w:t>
      </w:r>
      <w:r>
        <w:t xml:space="preserve"> </w:t>
      </w:r>
      <w:r w:rsidR="00267453">
        <w:t xml:space="preserve">« Count(*) » </w:t>
      </w:r>
      <w:r>
        <w:t>s</w:t>
      </w:r>
      <w:r w:rsidR="00267453">
        <w:t>ur la table de faits des VENTES, groupés sur le ou les attributs du tuple.</w:t>
      </w:r>
    </w:p>
    <w:p w:rsidR="001363BF" w:rsidRDefault="00267453" w:rsidP="001363BF">
      <w:pPr>
        <w:ind w:right="440"/>
      </w:pPr>
      <w:r>
        <w:t>On en tire</w:t>
      </w:r>
      <w:r w:rsidR="001363BF">
        <w:t xml:space="preserve"> les </w:t>
      </w:r>
      <w:r>
        <w:t>volumétries</w:t>
      </w:r>
      <w:r w:rsidR="001363BF">
        <w:t xml:space="preserve"> suivantes :</w:t>
      </w:r>
    </w:p>
    <w:tbl>
      <w:tblPr>
        <w:tblStyle w:val="GridTable4Accent1"/>
        <w:tblW w:w="10031" w:type="dxa"/>
        <w:tblLayout w:type="fixed"/>
        <w:tblLook w:val="04A0"/>
      </w:tblPr>
      <w:tblGrid>
        <w:gridCol w:w="1384"/>
        <w:gridCol w:w="3969"/>
        <w:gridCol w:w="2977"/>
        <w:gridCol w:w="1701"/>
      </w:tblGrid>
      <w:tr w:rsidR="004A6FE1" w:rsidTr="004A6FE1">
        <w:trPr>
          <w:cnfStyle w:val="100000000000"/>
        </w:trPr>
        <w:tc>
          <w:tcPr>
            <w:cnfStyle w:val="001000000000"/>
            <w:tcW w:w="1384" w:type="dxa"/>
          </w:tcPr>
          <w:p w:rsidR="004A6FE1" w:rsidRDefault="004A6FE1" w:rsidP="00267453">
            <w:pPr>
              <w:ind w:right="440"/>
              <w:jc w:val="center"/>
            </w:pPr>
            <w:r>
              <w:t>Vue</w:t>
            </w:r>
          </w:p>
        </w:tc>
        <w:tc>
          <w:tcPr>
            <w:tcW w:w="3969" w:type="dxa"/>
          </w:tcPr>
          <w:p w:rsidR="004A6FE1" w:rsidRDefault="004A6FE1" w:rsidP="00267453">
            <w:pPr>
              <w:ind w:right="440"/>
              <w:jc w:val="center"/>
              <w:cnfStyle w:val="100000000000"/>
            </w:pPr>
            <w:r>
              <w:t>Attributs du tuple</w:t>
            </w:r>
          </w:p>
        </w:tc>
        <w:tc>
          <w:tcPr>
            <w:tcW w:w="2977" w:type="dxa"/>
          </w:tcPr>
          <w:p w:rsidR="004A6FE1" w:rsidRDefault="004A6FE1" w:rsidP="006D51F4">
            <w:pPr>
              <w:ind w:right="440"/>
              <w:jc w:val="center"/>
              <w:cnfStyle w:val="100000000000"/>
            </w:pPr>
            <w:r>
              <w:t>Volumétrie</w:t>
            </w:r>
          </w:p>
        </w:tc>
        <w:tc>
          <w:tcPr>
            <w:tcW w:w="1701" w:type="dxa"/>
          </w:tcPr>
          <w:p w:rsidR="004A6FE1" w:rsidRDefault="004A6FE1" w:rsidP="00267453">
            <w:pPr>
              <w:ind w:right="440"/>
              <w:jc w:val="center"/>
              <w:cnfStyle w:val="100000000000"/>
            </w:pPr>
            <w:r>
              <w:t>Volumétrie réelle</w:t>
            </w: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4A6FE1">
              <w:rPr>
                <w:vertAlign w:val="subscript"/>
              </w:rPr>
              <w:t>0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sym w:font="Symbol" w:char="F0C6"/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1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1</w:t>
            </w: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C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Client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 w:rsidRPr="006D51F4">
              <w:rPr>
                <w:vertAlign w:val="subscript"/>
              </w:rPr>
              <w:t>C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L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Lieu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N</w:t>
            </w:r>
            <w:r w:rsidRPr="006D51F4">
              <w:rPr>
                <w:vertAlign w:val="subscript"/>
              </w:rPr>
              <w:t>L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D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Date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 w:rsidRPr="006D51F4">
              <w:rPr>
                <w:vertAlign w:val="subscript"/>
              </w:rPr>
              <w:t>D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P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Produit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N</w:t>
            </w:r>
            <w:r w:rsidRPr="006D51F4">
              <w:rPr>
                <w:vertAlign w:val="subscript"/>
              </w:rPr>
              <w:t>P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CL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Client – Lieu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 w:rsidRPr="006D51F4">
              <w:rPr>
                <w:vertAlign w:val="subscript"/>
              </w:rPr>
              <w:t>CL</w:t>
            </w:r>
            <w:r>
              <w:t xml:space="preserve"> ≤ N</w:t>
            </w:r>
            <w:r w:rsidRPr="006D51F4">
              <w:rPr>
                <w:vertAlign w:val="subscript"/>
              </w:rPr>
              <w:t>C</w:t>
            </w:r>
            <w:r>
              <w:t xml:space="preserve"> * N</w:t>
            </w:r>
            <w:r w:rsidRPr="006D51F4">
              <w:rPr>
                <w:vertAlign w:val="subscript"/>
              </w:rPr>
              <w:t>L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CD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Client – Date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N</w:t>
            </w:r>
            <w:r w:rsidRPr="006D51F4">
              <w:rPr>
                <w:vertAlign w:val="subscript"/>
              </w:rPr>
              <w:t>CD</w:t>
            </w:r>
            <w:r>
              <w:t xml:space="preserve"> ≤ N</w:t>
            </w:r>
            <w:r w:rsidRPr="006D51F4">
              <w:rPr>
                <w:vertAlign w:val="subscript"/>
              </w:rPr>
              <w:t>C</w:t>
            </w:r>
            <w:r>
              <w:t xml:space="preserve"> * N</w:t>
            </w:r>
            <w:r w:rsidRPr="006D51F4">
              <w:rPr>
                <w:vertAlign w:val="subscript"/>
              </w:rPr>
              <w:t>D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CP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Client – Produit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 w:rsidRPr="006D51F4">
              <w:rPr>
                <w:vertAlign w:val="subscript"/>
              </w:rPr>
              <w:t>CP</w:t>
            </w:r>
            <w:r>
              <w:t xml:space="preserve"> ≤ N</w:t>
            </w:r>
            <w:r w:rsidRPr="006D51F4">
              <w:rPr>
                <w:vertAlign w:val="subscript"/>
              </w:rPr>
              <w:t>C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LD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Lieu – Date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N</w:t>
            </w:r>
            <w:r w:rsidRPr="006D51F4">
              <w:rPr>
                <w:vertAlign w:val="subscript"/>
              </w:rPr>
              <w:t>LD</w:t>
            </w:r>
            <w:r>
              <w:t xml:space="preserve"> ≤ N</w:t>
            </w:r>
            <w:r w:rsidRPr="006D51F4">
              <w:rPr>
                <w:vertAlign w:val="subscript"/>
              </w:rPr>
              <w:t>L</w:t>
            </w:r>
            <w:r>
              <w:t xml:space="preserve"> * N</w:t>
            </w:r>
            <w:r w:rsidRPr="006D51F4">
              <w:rPr>
                <w:vertAlign w:val="subscript"/>
              </w:rPr>
              <w:t>D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LP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Lieu – Produit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 w:rsidRPr="006D51F4">
              <w:rPr>
                <w:vertAlign w:val="subscript"/>
              </w:rPr>
              <w:t>LP</w:t>
            </w:r>
            <w:r>
              <w:t xml:space="preserve"> ≤ N</w:t>
            </w:r>
            <w:r w:rsidRPr="006D51F4">
              <w:rPr>
                <w:vertAlign w:val="subscript"/>
              </w:rPr>
              <w:t>L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DP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Date – Produit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N</w:t>
            </w:r>
            <w:r w:rsidRPr="006D51F4">
              <w:rPr>
                <w:vertAlign w:val="subscript"/>
              </w:rPr>
              <w:t>DP</w:t>
            </w:r>
            <w:r>
              <w:t xml:space="preserve"> ≤ N</w:t>
            </w:r>
            <w:r w:rsidRPr="006D51F4">
              <w:rPr>
                <w:vertAlign w:val="subscript"/>
              </w:rPr>
              <w:t>D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CDL</w:t>
            </w:r>
            <w:r>
              <w:t xml:space="preserve"> 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Client – Date – Lieu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 w:rsidRPr="006D51F4">
              <w:rPr>
                <w:vertAlign w:val="subscript"/>
              </w:rPr>
              <w:t>CDL</w:t>
            </w:r>
            <w:r>
              <w:t xml:space="preserve"> ≤ N</w:t>
            </w:r>
            <w:r w:rsidRPr="006D51F4">
              <w:rPr>
                <w:vertAlign w:val="subscript"/>
              </w:rPr>
              <w:t>C</w:t>
            </w:r>
            <w:r>
              <w:t xml:space="preserve"> * N</w:t>
            </w:r>
            <w:r w:rsidRPr="006D51F4">
              <w:rPr>
                <w:vertAlign w:val="subscript"/>
              </w:rPr>
              <w:t>D</w:t>
            </w:r>
            <w:r>
              <w:t xml:space="preserve"> * N</w:t>
            </w:r>
            <w:r w:rsidRPr="006D51F4">
              <w:rPr>
                <w:vertAlign w:val="subscript"/>
              </w:rPr>
              <w:t>L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LPC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Lieu – Produit – Client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N</w:t>
            </w:r>
            <w:r w:rsidRPr="006D51F4">
              <w:rPr>
                <w:vertAlign w:val="subscript"/>
              </w:rPr>
              <w:t>LPC</w:t>
            </w:r>
            <w:r>
              <w:t xml:space="preserve"> ≤ N</w:t>
            </w:r>
            <w:r w:rsidRPr="006D51F4">
              <w:rPr>
                <w:vertAlign w:val="subscript"/>
              </w:rPr>
              <w:t>L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  <w:r>
              <w:t xml:space="preserve"> * N</w:t>
            </w:r>
            <w:r w:rsidRPr="006D51F4">
              <w:rPr>
                <w:vertAlign w:val="subscript"/>
              </w:rPr>
              <w:t>C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DPL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 xml:space="preserve">Date – Produit – Lieu 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 w:rsidRPr="006D51F4">
              <w:rPr>
                <w:vertAlign w:val="subscript"/>
              </w:rPr>
              <w:t>DPL</w:t>
            </w:r>
            <w:r>
              <w:t xml:space="preserve"> ≤ N</w:t>
            </w:r>
            <w:r w:rsidRPr="006D51F4">
              <w:rPr>
                <w:vertAlign w:val="subscript"/>
              </w:rPr>
              <w:t>D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  <w:r>
              <w:t xml:space="preserve"> * N</w:t>
            </w:r>
            <w:r w:rsidRPr="006D51F4">
              <w:rPr>
                <w:vertAlign w:val="subscript"/>
              </w:rPr>
              <w:t>L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  <w:tr w:rsidR="004A6FE1" w:rsidTr="004A6FE1">
        <w:trPr>
          <w:cnfStyle w:val="000000100000"/>
        </w:trPr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 w:rsidRPr="006D51F4">
              <w:rPr>
                <w:vertAlign w:val="subscript"/>
              </w:rPr>
              <w:t>DPC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 xml:space="preserve">Date – Produit – Client 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100000"/>
            </w:pPr>
            <w:r>
              <w:t>N</w:t>
            </w:r>
            <w:r w:rsidRPr="006D51F4">
              <w:rPr>
                <w:vertAlign w:val="subscript"/>
              </w:rPr>
              <w:t>DPC</w:t>
            </w:r>
            <w:r>
              <w:t xml:space="preserve"> ≤ N</w:t>
            </w:r>
            <w:r w:rsidRPr="006D51F4">
              <w:rPr>
                <w:vertAlign w:val="subscript"/>
              </w:rPr>
              <w:t>D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  <w:r>
              <w:t xml:space="preserve"> * N</w:t>
            </w:r>
            <w:r w:rsidRPr="006D51F4">
              <w:rPr>
                <w:vertAlign w:val="subscript"/>
              </w:rPr>
              <w:t>C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100000"/>
            </w:pPr>
          </w:p>
        </w:tc>
      </w:tr>
      <w:tr w:rsidR="004A6FE1" w:rsidTr="004A6FE1">
        <w:tc>
          <w:tcPr>
            <w:cnfStyle w:val="001000000000"/>
            <w:tcW w:w="1384" w:type="dxa"/>
          </w:tcPr>
          <w:p w:rsidR="004A6FE1" w:rsidRDefault="004A6FE1" w:rsidP="004A6FE1">
            <w:pPr>
              <w:ind w:right="440"/>
            </w:pPr>
            <w:r>
              <w:t>V</w:t>
            </w:r>
            <w:r>
              <w:rPr>
                <w:vertAlign w:val="subscript"/>
              </w:rPr>
              <w:t>LPCD</w:t>
            </w:r>
          </w:p>
        </w:tc>
        <w:tc>
          <w:tcPr>
            <w:tcW w:w="3969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Lieu – Produit – Client - Date</w:t>
            </w:r>
          </w:p>
        </w:tc>
        <w:tc>
          <w:tcPr>
            <w:tcW w:w="2977" w:type="dxa"/>
          </w:tcPr>
          <w:p w:rsidR="004A6FE1" w:rsidRDefault="004A6FE1" w:rsidP="004A6FE1">
            <w:pPr>
              <w:ind w:right="440"/>
              <w:cnfStyle w:val="000000000000"/>
            </w:pPr>
            <w:r>
              <w:t>N</w:t>
            </w:r>
            <w:r>
              <w:rPr>
                <w:vertAlign w:val="subscript"/>
              </w:rPr>
              <w:t>LPCD</w:t>
            </w:r>
            <w:r>
              <w:t xml:space="preserve"> ≤ N</w:t>
            </w:r>
            <w:r w:rsidRPr="006D51F4">
              <w:rPr>
                <w:vertAlign w:val="subscript"/>
              </w:rPr>
              <w:t>L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  <w:r>
              <w:t xml:space="preserve"> * N</w:t>
            </w:r>
            <w:r w:rsidRPr="006D51F4">
              <w:rPr>
                <w:vertAlign w:val="subscript"/>
              </w:rPr>
              <w:t xml:space="preserve">C </w:t>
            </w:r>
            <w:r>
              <w:t>* N</w:t>
            </w:r>
            <w:r w:rsidRPr="006D51F4">
              <w:rPr>
                <w:vertAlign w:val="subscript"/>
              </w:rPr>
              <w:t>D</w:t>
            </w:r>
          </w:p>
        </w:tc>
        <w:tc>
          <w:tcPr>
            <w:tcW w:w="1701" w:type="dxa"/>
          </w:tcPr>
          <w:p w:rsidR="004A6FE1" w:rsidRDefault="004A6FE1" w:rsidP="004A6FE1">
            <w:pPr>
              <w:ind w:right="440"/>
              <w:cnfStyle w:val="000000000000"/>
            </w:pPr>
          </w:p>
        </w:tc>
      </w:tr>
    </w:tbl>
    <w:p w:rsidR="001363BF" w:rsidRDefault="001363BF" w:rsidP="001363BF">
      <w:pPr>
        <w:ind w:right="440"/>
      </w:pPr>
    </w:p>
    <w:p w:rsidR="006555DC" w:rsidRDefault="006555DC" w:rsidP="001363BF">
      <w:pPr>
        <w:ind w:right="440"/>
      </w:pPr>
      <w:r>
        <w:lastRenderedPageBreak/>
        <w:t>Les signes d’infériorité rappellent qu’il s’agit de maximum. Pr exemple, le nombre de tuples « </w:t>
      </w:r>
      <w:r w:rsidRPr="006555DC">
        <w:rPr>
          <w:b/>
        </w:rPr>
        <w:t>Client – Produit</w:t>
      </w:r>
      <w:r>
        <w:t xml:space="preserve"> » est composé d’autant de lignes que de client ayant acheté ce produit au moins une fois. Comme tous les clients n’ont pas achetés tous les produits, on aura moins de </w:t>
      </w:r>
      <w:r w:rsidRPr="006555DC">
        <w:rPr>
          <w:b/>
        </w:rPr>
        <w:t>N</w:t>
      </w:r>
      <w:r w:rsidRPr="006D51F4">
        <w:rPr>
          <w:b/>
          <w:vertAlign w:val="subscript"/>
        </w:rPr>
        <w:t>C</w:t>
      </w:r>
      <w:r w:rsidRPr="006555DC">
        <w:rPr>
          <w:b/>
        </w:rPr>
        <w:t xml:space="preserve"> * N</w:t>
      </w:r>
      <w:r w:rsidRPr="006D51F4">
        <w:rPr>
          <w:b/>
          <w:vertAlign w:val="subscript"/>
        </w:rPr>
        <w:t>P</w:t>
      </w:r>
      <w:r>
        <w:t xml:space="preserve"> tuples.</w:t>
      </w:r>
    </w:p>
    <w:p w:rsidR="001363BF" w:rsidRDefault="00733F35" w:rsidP="00733F35">
      <w:pPr>
        <w:pStyle w:val="Titre1"/>
      </w:pPr>
      <w:bookmarkStart w:id="2" w:name="_Toc426298983"/>
      <w:r>
        <w:t>Algorithme de matérialisation partielle</w:t>
      </w:r>
      <w:bookmarkEnd w:id="2"/>
    </w:p>
    <w:p w:rsidR="001535FD" w:rsidRDefault="001535FD" w:rsidP="00733F35">
      <w:pPr>
        <w:pStyle w:val="Titre2"/>
      </w:pPr>
      <w:bookmarkStart w:id="3" w:name="_Toc426298984"/>
      <w:r>
        <w:t>Présentation</w:t>
      </w:r>
    </w:p>
    <w:p w:rsidR="001535FD" w:rsidRDefault="001535FD" w:rsidP="001535FD">
      <w:r>
        <w:t xml:space="preserve">Dans le cours D111 – Informatique décisionnelle, </w:t>
      </w:r>
      <w:proofErr w:type="spellStart"/>
      <w:r w:rsidRPr="001535FD">
        <w:t>Sofian</w:t>
      </w:r>
      <w:proofErr w:type="spellEnd"/>
      <w:r w:rsidRPr="001535FD">
        <w:t xml:space="preserve"> MAABOUT</w:t>
      </w:r>
      <w:r>
        <w:t xml:space="preserve"> présente un algorithme de matérialisation partielle du cube OLAP. Il s’agit d’un équilibre entre :</w:t>
      </w:r>
    </w:p>
    <w:p w:rsidR="001535FD" w:rsidRDefault="001535FD" w:rsidP="001535FD">
      <w:pPr>
        <w:pStyle w:val="Paragraphedeliste"/>
        <w:numPr>
          <w:ilvl w:val="0"/>
          <w:numId w:val="35"/>
        </w:numPr>
      </w:pPr>
      <w:r w:rsidRPr="001535FD">
        <w:rPr>
          <w:b/>
        </w:rPr>
        <w:t>Aucune matérialisation</w:t>
      </w:r>
      <w:r>
        <w:t xml:space="preserve"> : L’espace disque du cube est réduite </w:t>
      </w:r>
      <w:proofErr w:type="gramStart"/>
      <w:r>
        <w:t>au</w:t>
      </w:r>
      <w:proofErr w:type="gramEnd"/>
      <w:r>
        <w:t xml:space="preserve"> seules données de l’entrepôt de données qui a servi de source. Les performances peuvent être décevantes du fait du nombre d’accès disque. Des index judicieusement placés et un sens de parcours adéquat permettent de limiter ces problèmes.</w:t>
      </w:r>
    </w:p>
    <w:p w:rsidR="001535FD" w:rsidRDefault="001535FD" w:rsidP="001535FD">
      <w:pPr>
        <w:pStyle w:val="Paragraphedeliste"/>
        <w:numPr>
          <w:ilvl w:val="0"/>
          <w:numId w:val="35"/>
        </w:numPr>
      </w:pPr>
      <w:r w:rsidRPr="001535FD">
        <w:rPr>
          <w:b/>
        </w:rPr>
        <w:t>Matérialisation totale</w:t>
      </w:r>
      <w:r>
        <w:t> : L’ensemble des calculs de sommes est réalisé à l’avance, et stocké sur le disque dur. L’interrogation du cube se limite alors à la seule lecture de données déjà calculés, et les performances sont optimales. Toutefois, l’espace disque limité ne permet pas toujours la mise en œuvre de cette logique</w:t>
      </w:r>
    </w:p>
    <w:p w:rsidR="001535FD" w:rsidRDefault="001535FD" w:rsidP="001535FD">
      <w:r>
        <w:t xml:space="preserve">La matérialisation partielle consiste à choisir au mieux un sous-ensemble de données du cube à pré </w:t>
      </w:r>
      <w:proofErr w:type="gramStart"/>
      <w:r>
        <w:t>calculer</w:t>
      </w:r>
      <w:proofErr w:type="gramEnd"/>
      <w:r>
        <w:t>, sous forme de vue matérialisés. Lorsque le moteur recevra une requête OLPA, il ira soit chercher dans ces vues matérialisées, soit fera le calcul à la volée.</w:t>
      </w:r>
    </w:p>
    <w:p w:rsidR="001535FD" w:rsidRDefault="001535FD" w:rsidP="001535FD">
      <w:r>
        <w:t>Cet algorithme supporte une seule contrainte, par exemple le nombre maximum de vues à matérialiser. Ici, nous fixerons la contrainte sur l’espace disque maximum à utiliser par les vues matérialisés.</w:t>
      </w:r>
    </w:p>
    <w:p w:rsidR="00F5704E" w:rsidRPr="001535FD" w:rsidRDefault="006749A5" w:rsidP="001535FD">
      <w:r>
        <w:t>En théorie,</w:t>
      </w:r>
      <w:r w:rsidR="001535FD">
        <w:t xml:space="preserve"> à </w:t>
      </w:r>
      <w:r>
        <w:t>contrainte égale</w:t>
      </w:r>
      <w:r w:rsidR="001535FD">
        <w:t xml:space="preserve"> la solution de cet algorithme est supérieure ou égale</w:t>
      </w:r>
      <w:r w:rsidR="001535FD" w:rsidRPr="001535FD">
        <w:t xml:space="preserve"> </w:t>
      </w:r>
      <w:r w:rsidR="001535FD">
        <w:t xml:space="preserve">à </w:t>
      </w:r>
      <w:r w:rsidR="001535FD" w:rsidRPr="001535FD">
        <w:t>la solution optimale</w:t>
      </w:r>
      <w:r>
        <w:t>, obtenue par méthode analytique ou par essai de toutes les combinaisons possibles.</w:t>
      </w:r>
    </w:p>
    <w:p w:rsidR="00733F35" w:rsidRDefault="00733F35" w:rsidP="00733F35">
      <w:pPr>
        <w:pStyle w:val="Titre2"/>
      </w:pPr>
      <w:r>
        <w:t>Entrées</w:t>
      </w:r>
      <w:bookmarkEnd w:id="3"/>
    </w:p>
    <w:p w:rsidR="000E5446" w:rsidRDefault="000E5446" w:rsidP="000E5446">
      <w:pPr>
        <w:pStyle w:val="Paragraphedeliste"/>
        <w:numPr>
          <w:ilvl w:val="0"/>
          <w:numId w:val="30"/>
        </w:numPr>
      </w:pPr>
      <w:r>
        <w:t>Espace maximale de stockage sur disque, en Mo, sous forme d’entier</w:t>
      </w:r>
    </w:p>
    <w:p w:rsidR="00A61F25" w:rsidRDefault="00F5704E" w:rsidP="000E5446">
      <w:pPr>
        <w:pStyle w:val="Paragraphedeliste"/>
        <w:numPr>
          <w:ilvl w:val="0"/>
          <w:numId w:val="30"/>
        </w:numPr>
      </w:pPr>
      <w:r>
        <w:t>Stockage</w:t>
      </w:r>
      <w:r w:rsidR="00A61F25">
        <w:t xml:space="preserve"> fixe de la structure du cube (Chaines de dépendances des différentes</w:t>
      </w:r>
      <w:bookmarkStart w:id="4" w:name="_GoBack"/>
      <w:bookmarkEnd w:id="4"/>
      <w:r w:rsidR="00A61F25">
        <w:t xml:space="preserve"> vues possibles)</w:t>
      </w:r>
    </w:p>
    <w:p w:rsidR="00733F35" w:rsidRDefault="00733F35" w:rsidP="00733F35">
      <w:pPr>
        <w:pStyle w:val="Titre2"/>
      </w:pPr>
      <w:bookmarkStart w:id="5" w:name="_Toc426298985"/>
      <w:r>
        <w:t>Traitements</w:t>
      </w:r>
      <w:bookmarkEnd w:id="5"/>
    </w:p>
    <w:p w:rsidR="004A6FE1" w:rsidRPr="004A6FE1" w:rsidRDefault="004A6FE1" w:rsidP="004A6FE1">
      <w:pPr>
        <w:pStyle w:val="Titre3"/>
      </w:pPr>
      <w:bookmarkStart w:id="6" w:name="_Toc426298987"/>
      <w:r w:rsidRPr="004A6FE1">
        <w:t>Initialisation de l’algorithme</w:t>
      </w:r>
      <w:bookmarkEnd w:id="6"/>
    </w:p>
    <w:p w:rsidR="00986AD8" w:rsidRDefault="00986AD8" w:rsidP="00986AD8">
      <w:pPr>
        <w:pStyle w:val="Paragraphedeliste"/>
        <w:numPr>
          <w:ilvl w:val="0"/>
          <w:numId w:val="36"/>
        </w:numPr>
      </w:pPr>
      <w:r>
        <w:t xml:space="preserve">Nom, volumétrie </w:t>
      </w:r>
      <w:r w:rsidR="00733DE0">
        <w:t xml:space="preserve">et occupation disque totale </w:t>
      </w:r>
      <w:r>
        <w:t xml:space="preserve">des dimensions 1D, sous forme de série de </w:t>
      </w:r>
      <w:proofErr w:type="spellStart"/>
      <w:r>
        <w:t>tuples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 w:rsidRPr="00F5704E">
        <w:rPr>
          <w:b/>
          <w:i/>
          <w:u w:val="single"/>
        </w:rPr>
        <w:t>nomDimension</w:t>
      </w:r>
      <w:proofErr w:type="spellEnd"/>
      <w:proofErr w:type="gramEnd"/>
      <w:r w:rsidRPr="00F5704E">
        <w:rPr>
          <w:b/>
          <w:i/>
          <w:u w:val="single"/>
        </w:rPr>
        <w:t xml:space="preserve">, </w:t>
      </w:r>
      <w:proofErr w:type="spellStart"/>
      <w:r w:rsidRPr="00F5704E">
        <w:rPr>
          <w:b/>
          <w:i/>
          <w:u w:val="single"/>
        </w:rPr>
        <w:t>comptageDimension</w:t>
      </w:r>
      <w:proofErr w:type="spellEnd"/>
      <w:r w:rsidRPr="00F5704E">
        <w:rPr>
          <w:b/>
          <w:i/>
          <w:u w:val="single"/>
        </w:rPr>
        <w:t xml:space="preserve">, </w:t>
      </w:r>
      <w:proofErr w:type="spellStart"/>
      <w:r w:rsidRPr="00F5704E">
        <w:rPr>
          <w:b/>
          <w:i/>
          <w:u w:val="single"/>
        </w:rPr>
        <w:t>occupationDisque</w:t>
      </w:r>
      <w:proofErr w:type="spellEnd"/>
      <w:r w:rsidRPr="00F5704E">
        <w:rPr>
          <w:b/>
        </w:rPr>
        <w:t xml:space="preserve"> </w:t>
      </w:r>
      <w:r>
        <w:t>}</w:t>
      </w:r>
    </w:p>
    <w:p w:rsidR="00986AD8" w:rsidRPr="00986AD8" w:rsidRDefault="00986AD8" w:rsidP="00986AD8">
      <w:pPr>
        <w:pStyle w:val="Paragraphedeliste"/>
        <w:rPr>
          <w:i/>
        </w:rPr>
      </w:pPr>
      <w:r w:rsidRPr="00986AD8">
        <w:rPr>
          <w:b/>
          <w:i/>
        </w:rPr>
        <w:t>Exemple</w:t>
      </w:r>
      <w:r w:rsidRPr="00986AD8">
        <w:rPr>
          <w:i/>
        </w:rPr>
        <w:t> : La dimension « CLIENTS » = {« DIM_CLIENTS », 12</w:t>
      </w:r>
      <w:r w:rsidR="00F5704E">
        <w:rPr>
          <w:i/>
        </w:rPr>
        <w:t xml:space="preserve"> </w:t>
      </w:r>
      <w:r w:rsidR="00733DE0">
        <w:rPr>
          <w:i/>
        </w:rPr>
        <w:t>345 lignes, 1 234 ko occupés par la table</w:t>
      </w:r>
      <w:r w:rsidRPr="00986AD8">
        <w:rPr>
          <w:i/>
        </w:rPr>
        <w:t>}</w:t>
      </w:r>
    </w:p>
    <w:p w:rsidR="00986AD8" w:rsidRDefault="00986AD8" w:rsidP="00986AD8">
      <w:pPr>
        <w:pStyle w:val="Paragraphedeliste"/>
      </w:pPr>
    </w:p>
    <w:p w:rsidR="00986AD8" w:rsidRDefault="000E5446" w:rsidP="00986AD8">
      <w:pPr>
        <w:pStyle w:val="Paragraphedeliste"/>
        <w:numPr>
          <w:ilvl w:val="0"/>
          <w:numId w:val="36"/>
        </w:numPr>
      </w:pPr>
      <w:r>
        <w:t xml:space="preserve">Calcul des combinaisons </w:t>
      </w:r>
      <w:r w:rsidR="004A6FE1">
        <w:t xml:space="preserve">de vues </w:t>
      </w:r>
      <w:r>
        <w:t>2D, 3D et 4D des dimensions</w:t>
      </w:r>
      <w:r w:rsidR="004A6FE1">
        <w:t xml:space="preserve"> à partir des vues 1D</w:t>
      </w:r>
    </w:p>
    <w:p w:rsidR="00986AD8" w:rsidRPr="004A6FE1" w:rsidRDefault="000E5446" w:rsidP="00986AD8">
      <w:pPr>
        <w:pStyle w:val="Paragraphedeliste"/>
        <w:numPr>
          <w:ilvl w:val="0"/>
          <w:numId w:val="36"/>
        </w:numPr>
      </w:pPr>
      <w:r w:rsidRPr="004A6FE1">
        <w:t>Génération et envoi des requêtes à SSAS</w:t>
      </w:r>
      <w:r w:rsidR="00986AD8">
        <w:t xml:space="preserve"> pour obtenir les mêmes informations que les dimensions 1D</w:t>
      </w:r>
    </w:p>
    <w:p w:rsidR="000E5446" w:rsidRPr="004A6FE1" w:rsidRDefault="004A6FE1" w:rsidP="00986AD8">
      <w:pPr>
        <w:pStyle w:val="Paragraphedeliste"/>
        <w:numPr>
          <w:ilvl w:val="0"/>
          <w:numId w:val="36"/>
        </w:numPr>
      </w:pPr>
      <w:r w:rsidRPr="004A6FE1">
        <w:t>On construit une liste des vues sélectionnées « </w:t>
      </w:r>
      <w:proofErr w:type="spellStart"/>
      <w:r w:rsidRPr="004A6FE1">
        <w:rPr>
          <w:b/>
          <w:i/>
        </w:rPr>
        <w:t>ListeVuesSelectionnees</w:t>
      </w:r>
      <w:proofErr w:type="spellEnd"/>
      <w:r w:rsidRPr="004A6FE1">
        <w:t> »  pour la matérialisation, contenant seulement V</w:t>
      </w:r>
      <w:r w:rsidRPr="004A6FE1">
        <w:rPr>
          <w:vertAlign w:val="subscript"/>
        </w:rPr>
        <w:t>LPCD</w:t>
      </w:r>
      <w:r w:rsidRPr="004A6FE1">
        <w:t xml:space="preserve"> au départ</w:t>
      </w:r>
      <w:r>
        <w:t>.</w:t>
      </w:r>
    </w:p>
    <w:p w:rsidR="004A6FE1" w:rsidRPr="004A6FE1" w:rsidRDefault="004A6FE1" w:rsidP="00986AD8">
      <w:pPr>
        <w:pStyle w:val="Paragraphedeliste"/>
        <w:numPr>
          <w:ilvl w:val="0"/>
          <w:numId w:val="36"/>
        </w:numPr>
      </w:pPr>
      <w:r w:rsidRPr="004A6FE1">
        <w:t>Initialiser une liste de vues disponibles « </w:t>
      </w:r>
      <w:proofErr w:type="spellStart"/>
      <w:r w:rsidRPr="004A6FE1">
        <w:rPr>
          <w:b/>
          <w:i/>
        </w:rPr>
        <w:t>ListeVuesDisponibles</w:t>
      </w:r>
      <w:proofErr w:type="spellEnd"/>
      <w:r w:rsidRPr="004A6FE1">
        <w:t> », contentant toutes les vues sauf V</w:t>
      </w:r>
      <w:r w:rsidRPr="004A6FE1">
        <w:rPr>
          <w:vertAlign w:val="subscript"/>
        </w:rPr>
        <w:t>LPCD</w:t>
      </w:r>
    </w:p>
    <w:p w:rsidR="00F5704E" w:rsidRDefault="00F5704E" w:rsidP="000E5446">
      <w:pPr>
        <w:pStyle w:val="Titre3"/>
      </w:pPr>
      <w:bookmarkStart w:id="7" w:name="_Toc426298988"/>
    </w:p>
    <w:p w:rsidR="000E5446" w:rsidRPr="004A6FE1" w:rsidRDefault="000E5446" w:rsidP="000E5446">
      <w:pPr>
        <w:pStyle w:val="Titre3"/>
      </w:pPr>
      <w:r w:rsidRPr="004A6FE1">
        <w:t>Déroulé de l’algorithme</w:t>
      </w:r>
      <w:bookmarkEnd w:id="7"/>
    </w:p>
    <w:p w:rsidR="0005525E" w:rsidRDefault="0005525E" w:rsidP="000E5446">
      <w:pPr>
        <w:pStyle w:val="Paragraphedeliste"/>
        <w:numPr>
          <w:ilvl w:val="0"/>
          <w:numId w:val="34"/>
        </w:numPr>
      </w:pPr>
      <w:r>
        <w:t>Remettre à zéro une variable temporaire « </w:t>
      </w:r>
      <w:proofErr w:type="spellStart"/>
      <w:r w:rsidRPr="0005525E">
        <w:rPr>
          <w:b/>
          <w:i/>
        </w:rPr>
        <w:t>meilleureVue</w:t>
      </w:r>
      <w:proofErr w:type="spellEnd"/>
      <w:r>
        <w:t> »</w:t>
      </w:r>
      <w:r w:rsidR="00470100" w:rsidRPr="00470100">
        <w:t xml:space="preserve"> </w:t>
      </w:r>
      <w:r w:rsidR="00470100">
        <w:t>associée à un bénéfice nul </w:t>
      </w:r>
    </w:p>
    <w:p w:rsidR="000E5446" w:rsidRDefault="0005525E" w:rsidP="000E5446">
      <w:pPr>
        <w:pStyle w:val="Paragraphedeliste"/>
        <w:numPr>
          <w:ilvl w:val="0"/>
          <w:numId w:val="34"/>
        </w:numPr>
      </w:pPr>
      <w:r>
        <w:t>S</w:t>
      </w:r>
      <w:r w:rsidR="00163BDC" w:rsidRPr="00163BDC">
        <w:t>ur l’ensemble des vues encore présentes dans « </w:t>
      </w:r>
      <w:proofErr w:type="spellStart"/>
      <w:r w:rsidR="00163BDC" w:rsidRPr="00163BDC">
        <w:rPr>
          <w:b/>
          <w:i/>
        </w:rPr>
        <w:t>ListeVuesDisponibles</w:t>
      </w:r>
      <w:proofErr w:type="spellEnd"/>
      <w:r>
        <w:t> »:</w:t>
      </w:r>
    </w:p>
    <w:p w:rsidR="0005525E" w:rsidRPr="0005525E" w:rsidRDefault="0005525E" w:rsidP="0005525E">
      <w:pPr>
        <w:pStyle w:val="Paragraphedeliste"/>
        <w:numPr>
          <w:ilvl w:val="0"/>
          <w:numId w:val="40"/>
        </w:numPr>
        <w:rPr>
          <w:highlight w:val="yellow"/>
        </w:rPr>
      </w:pPr>
      <w:r w:rsidRPr="0005525E">
        <w:rPr>
          <w:highlight w:val="yellow"/>
        </w:rPr>
        <w:t>D</w:t>
      </w:r>
    </w:p>
    <w:p w:rsidR="0005525E" w:rsidRDefault="0005525E" w:rsidP="0005525E">
      <w:pPr>
        <w:pStyle w:val="Paragraphedeliste"/>
        <w:numPr>
          <w:ilvl w:val="0"/>
          <w:numId w:val="40"/>
        </w:numPr>
        <w:rPr>
          <w:highlight w:val="yellow"/>
        </w:rPr>
      </w:pPr>
      <w:r w:rsidRPr="0005525E">
        <w:rPr>
          <w:highlight w:val="yellow"/>
        </w:rPr>
        <w:t>D</w:t>
      </w:r>
    </w:p>
    <w:p w:rsidR="0005525E" w:rsidRPr="00470100" w:rsidRDefault="00470100" w:rsidP="0005525E">
      <w:pPr>
        <w:pStyle w:val="Paragraphedeliste"/>
        <w:numPr>
          <w:ilvl w:val="0"/>
          <w:numId w:val="40"/>
        </w:numPr>
        <w:rPr>
          <w:highlight w:val="yellow"/>
        </w:rPr>
      </w:pPr>
      <w:r w:rsidRPr="00470100">
        <w:rPr>
          <w:highlight w:val="yellow"/>
        </w:rPr>
        <w:t>Sommer</w:t>
      </w:r>
      <w:r w:rsidR="0005525E" w:rsidRPr="00470100">
        <w:rPr>
          <w:highlight w:val="yellow"/>
        </w:rPr>
        <w:t xml:space="preserve"> le</w:t>
      </w:r>
      <w:r w:rsidRPr="00470100">
        <w:rPr>
          <w:highlight w:val="yellow"/>
        </w:rPr>
        <w:t>s</w:t>
      </w:r>
      <w:r w:rsidR="0005525E" w:rsidRPr="00470100">
        <w:rPr>
          <w:highlight w:val="yellow"/>
        </w:rPr>
        <w:t xml:space="preserve"> bénéfice</w:t>
      </w:r>
      <w:r w:rsidRPr="00470100">
        <w:rPr>
          <w:highlight w:val="yellow"/>
        </w:rPr>
        <w:t>s</w:t>
      </w:r>
      <w:r w:rsidR="0005525E" w:rsidRPr="00470100">
        <w:rPr>
          <w:highlight w:val="yellow"/>
        </w:rPr>
        <w:t xml:space="preserve"> </w:t>
      </w:r>
      <w:r w:rsidRPr="00470100">
        <w:rPr>
          <w:highlight w:val="yellow"/>
        </w:rPr>
        <w:t xml:space="preserve">unitaires </w:t>
      </w:r>
      <w:r w:rsidR="0005525E" w:rsidRPr="00470100">
        <w:rPr>
          <w:highlight w:val="yellow"/>
        </w:rPr>
        <w:t xml:space="preserve">comme la différence </w:t>
      </w:r>
      <w:proofErr w:type="spellStart"/>
      <w:proofErr w:type="gramStart"/>
      <w:r w:rsidRPr="00470100">
        <w:rPr>
          <w:b/>
          <w:highlight w:val="yellow"/>
        </w:rPr>
        <w:t>Ancien</w:t>
      </w:r>
      <w:r w:rsidR="0005525E" w:rsidRPr="00470100">
        <w:rPr>
          <w:b/>
          <w:highlight w:val="yellow"/>
        </w:rPr>
        <w:t>Cout</w:t>
      </w:r>
      <w:proofErr w:type="spellEnd"/>
      <w:r w:rsidR="0005525E" w:rsidRPr="00470100">
        <w:rPr>
          <w:highlight w:val="yellow"/>
        </w:rPr>
        <w:t>(</w:t>
      </w:r>
      <w:proofErr w:type="gramEnd"/>
      <w:r w:rsidR="0005525E" w:rsidRPr="00470100">
        <w:rPr>
          <w:highlight w:val="yellow"/>
        </w:rPr>
        <w:t xml:space="preserve">Vue en cours) et </w:t>
      </w:r>
      <w:proofErr w:type="spellStart"/>
      <w:r w:rsidRPr="00470100">
        <w:rPr>
          <w:b/>
          <w:highlight w:val="yellow"/>
        </w:rPr>
        <w:t>Nouveau</w:t>
      </w:r>
      <w:r w:rsidR="0005525E" w:rsidRPr="00470100">
        <w:rPr>
          <w:b/>
          <w:highlight w:val="yellow"/>
        </w:rPr>
        <w:t>Cout</w:t>
      </w:r>
      <w:proofErr w:type="spellEnd"/>
      <w:r w:rsidR="0005525E" w:rsidRPr="00470100">
        <w:rPr>
          <w:highlight w:val="yellow"/>
        </w:rPr>
        <w:t>(Vue en cours)</w:t>
      </w:r>
    </w:p>
    <w:p w:rsidR="0005525E" w:rsidRPr="00470100" w:rsidRDefault="0005525E" w:rsidP="0005525E">
      <w:pPr>
        <w:pStyle w:val="Paragraphedeliste"/>
        <w:numPr>
          <w:ilvl w:val="0"/>
          <w:numId w:val="40"/>
        </w:numPr>
        <w:rPr>
          <w:highlight w:val="yellow"/>
        </w:rPr>
      </w:pPr>
      <w:r w:rsidRPr="00470100">
        <w:rPr>
          <w:highlight w:val="yellow"/>
        </w:rPr>
        <w:t>Si le b</w:t>
      </w:r>
      <w:r w:rsidR="00470100">
        <w:rPr>
          <w:highlight w:val="yellow"/>
        </w:rPr>
        <w:t>énéfice de la vue en cours est supérieur</w:t>
      </w:r>
      <w:r w:rsidRPr="00470100">
        <w:rPr>
          <w:highlight w:val="yellow"/>
        </w:rPr>
        <w:t xml:space="preserve"> à celui de « </w:t>
      </w:r>
      <w:proofErr w:type="spellStart"/>
      <w:r w:rsidRPr="00470100">
        <w:rPr>
          <w:b/>
          <w:i/>
          <w:highlight w:val="yellow"/>
        </w:rPr>
        <w:t>meilleureVue</w:t>
      </w:r>
      <w:proofErr w:type="spellEnd"/>
      <w:r w:rsidRPr="00470100">
        <w:rPr>
          <w:highlight w:val="yellow"/>
        </w:rPr>
        <w:t xml:space="preserve"> » : Sélectionner cette vue comme </w:t>
      </w:r>
      <w:r w:rsidR="00470100">
        <w:rPr>
          <w:highlight w:val="yellow"/>
        </w:rPr>
        <w:t>nouvelle</w:t>
      </w:r>
      <w:r w:rsidRPr="00470100">
        <w:rPr>
          <w:highlight w:val="yellow"/>
        </w:rPr>
        <w:t> « </w:t>
      </w:r>
      <w:proofErr w:type="spellStart"/>
      <w:r w:rsidRPr="00470100">
        <w:rPr>
          <w:b/>
          <w:i/>
          <w:highlight w:val="yellow"/>
        </w:rPr>
        <w:t>meilleureVue</w:t>
      </w:r>
      <w:proofErr w:type="spellEnd"/>
      <w:r w:rsidRPr="00470100">
        <w:rPr>
          <w:highlight w:val="yellow"/>
        </w:rPr>
        <w:t> »</w:t>
      </w:r>
    </w:p>
    <w:p w:rsidR="0005525E" w:rsidRDefault="0005525E" w:rsidP="000E5446">
      <w:pPr>
        <w:pStyle w:val="Paragraphedeliste"/>
        <w:numPr>
          <w:ilvl w:val="0"/>
          <w:numId w:val="34"/>
        </w:numPr>
      </w:pPr>
      <w:r>
        <w:t>Quand toutes les vues de</w:t>
      </w:r>
      <w:r w:rsidRPr="00163BDC">
        <w:t>« </w:t>
      </w:r>
      <w:proofErr w:type="spellStart"/>
      <w:r w:rsidRPr="00163BDC">
        <w:rPr>
          <w:b/>
          <w:i/>
        </w:rPr>
        <w:t>ListeVuesDisponibles</w:t>
      </w:r>
      <w:proofErr w:type="spellEnd"/>
      <w:r>
        <w:t> » ont été parcourues :</w:t>
      </w:r>
    </w:p>
    <w:p w:rsidR="0005525E" w:rsidRDefault="004A6FE1" w:rsidP="0005525E">
      <w:pPr>
        <w:pStyle w:val="Paragraphedeliste"/>
        <w:numPr>
          <w:ilvl w:val="0"/>
          <w:numId w:val="41"/>
        </w:numPr>
      </w:pPr>
      <w:r w:rsidRPr="00163BDC">
        <w:lastRenderedPageBreak/>
        <w:t>Mettre la vue sélectionnée</w:t>
      </w:r>
      <w:r w:rsidR="0005525E">
        <w:t xml:space="preserve"> « </w:t>
      </w:r>
      <w:proofErr w:type="spellStart"/>
      <w:r w:rsidR="0005525E" w:rsidRPr="0005525E">
        <w:rPr>
          <w:b/>
          <w:i/>
        </w:rPr>
        <w:t>meilleureVue</w:t>
      </w:r>
      <w:proofErr w:type="spellEnd"/>
      <w:r w:rsidR="0005525E">
        <w:t> »</w:t>
      </w:r>
      <w:r w:rsidRPr="00163BDC">
        <w:t xml:space="preserve"> </w:t>
      </w:r>
      <w:r w:rsidR="00163BDC" w:rsidRPr="00163BDC">
        <w:t>dans « </w:t>
      </w:r>
      <w:proofErr w:type="spellStart"/>
      <w:r w:rsidR="00163BDC" w:rsidRPr="00163BDC">
        <w:rPr>
          <w:b/>
          <w:i/>
        </w:rPr>
        <w:t>ListeVuesSelectionnees</w:t>
      </w:r>
      <w:proofErr w:type="spellEnd"/>
      <w:r w:rsidR="0005525E">
        <w:t xml:space="preserve"> »  </w:t>
      </w:r>
    </w:p>
    <w:p w:rsidR="004A6FE1" w:rsidRPr="00163BDC" w:rsidRDefault="0005525E" w:rsidP="0005525E">
      <w:pPr>
        <w:pStyle w:val="Paragraphedeliste"/>
        <w:numPr>
          <w:ilvl w:val="0"/>
          <w:numId w:val="41"/>
        </w:numPr>
      </w:pPr>
      <w:r>
        <w:t>S</w:t>
      </w:r>
      <w:r w:rsidR="00163BDC" w:rsidRPr="00163BDC">
        <w:t xml:space="preserve">upprimer </w:t>
      </w:r>
      <w:r>
        <w:t>« </w:t>
      </w:r>
      <w:proofErr w:type="spellStart"/>
      <w:r w:rsidRPr="0005525E">
        <w:rPr>
          <w:b/>
          <w:i/>
        </w:rPr>
        <w:t>meilleureVue</w:t>
      </w:r>
      <w:proofErr w:type="spellEnd"/>
      <w:r>
        <w:t> » de</w:t>
      </w:r>
      <w:r w:rsidR="00163BDC" w:rsidRPr="00163BDC">
        <w:t xml:space="preserve"> « </w:t>
      </w:r>
      <w:proofErr w:type="spellStart"/>
      <w:r w:rsidR="00163BDC" w:rsidRPr="00163BDC">
        <w:rPr>
          <w:b/>
          <w:i/>
        </w:rPr>
        <w:t>ListeVuesDisponibles</w:t>
      </w:r>
      <w:proofErr w:type="spellEnd"/>
      <w:r w:rsidR="00163BDC" w:rsidRPr="00163BDC">
        <w:t> »</w:t>
      </w:r>
    </w:p>
    <w:p w:rsidR="00163BDC" w:rsidRPr="00163BDC" w:rsidRDefault="00163BDC" w:rsidP="000E5446">
      <w:pPr>
        <w:pStyle w:val="Paragraphedeliste"/>
        <w:numPr>
          <w:ilvl w:val="0"/>
          <w:numId w:val="34"/>
        </w:numPr>
      </w:pPr>
      <w:r w:rsidRPr="00163BDC">
        <w:t>Soustraire l’occupation disque de la vue sélectionnée du total disponible restant.</w:t>
      </w:r>
    </w:p>
    <w:p w:rsidR="00163BDC" w:rsidRDefault="00163BDC" w:rsidP="00163BDC">
      <w:pPr>
        <w:pStyle w:val="Paragraphedeliste"/>
        <w:numPr>
          <w:ilvl w:val="0"/>
          <w:numId w:val="34"/>
        </w:numPr>
      </w:pPr>
      <w:r w:rsidRPr="00163BDC">
        <w:t>Go To [1] s’il reste encore des vues dans « </w:t>
      </w:r>
      <w:proofErr w:type="spellStart"/>
      <w:r w:rsidRPr="00163BDC">
        <w:rPr>
          <w:b/>
          <w:i/>
        </w:rPr>
        <w:t>ListeVuesDisponibles</w:t>
      </w:r>
      <w:proofErr w:type="spellEnd"/>
      <w:r w:rsidRPr="00163BDC">
        <w:t> » et qu’il reste de l’espace disque disponible</w:t>
      </w:r>
      <w:r>
        <w:t xml:space="preserve"> et que l’itération précédente a bien sélectionné une vue (Pour éviter la boucle infinie si l’espace restant ne suffit à aucune vue restante)</w:t>
      </w:r>
    </w:p>
    <w:p w:rsidR="00733F35" w:rsidRDefault="00733F35" w:rsidP="00CE54EB">
      <w:pPr>
        <w:pStyle w:val="Titre2"/>
      </w:pPr>
      <w:bookmarkStart w:id="8" w:name="_Toc426298989"/>
      <w:r>
        <w:t>Sorties</w:t>
      </w:r>
      <w:bookmarkEnd w:id="8"/>
    </w:p>
    <w:p w:rsidR="00733F35" w:rsidRDefault="000E5446" w:rsidP="000E5446">
      <w:pPr>
        <w:pStyle w:val="Paragraphedeliste"/>
        <w:numPr>
          <w:ilvl w:val="0"/>
          <w:numId w:val="32"/>
        </w:numPr>
      </w:pPr>
      <w:r>
        <w:t>Modèle d’agrégats</w:t>
      </w:r>
      <w:r w:rsidR="006C2342">
        <w:t>, qui sera appliqué sur SSAS</w:t>
      </w:r>
      <w:r w:rsidR="004A6FE1">
        <w:t>. On matérialisera toutes les vues de la liste « </w:t>
      </w:r>
      <w:proofErr w:type="spellStart"/>
      <w:r w:rsidR="004A6FE1" w:rsidRPr="004A6FE1">
        <w:rPr>
          <w:b/>
          <w:i/>
        </w:rPr>
        <w:t>ListeVuesSelectionnees</w:t>
      </w:r>
      <w:proofErr w:type="spellEnd"/>
      <w:r w:rsidR="004A6FE1">
        <w:t> » </w:t>
      </w:r>
    </w:p>
    <w:p w:rsidR="00136616" w:rsidRDefault="00136616" w:rsidP="00733F35">
      <w:pPr>
        <w:pStyle w:val="Titre1"/>
      </w:pPr>
      <w:bookmarkStart w:id="9" w:name="_Toc426298990"/>
      <w:r>
        <w:t>Implémentation technique</w:t>
      </w:r>
    </w:p>
    <w:p w:rsidR="0063769D" w:rsidRDefault="0063769D" w:rsidP="00136616">
      <w:pPr>
        <w:pStyle w:val="Titre2"/>
      </w:pPr>
      <w:r>
        <w:t>Fonctionnalités requises</w:t>
      </w:r>
    </w:p>
    <w:p w:rsidR="00733DE0" w:rsidRDefault="00733DE0" w:rsidP="00733DE0">
      <w:pPr>
        <w:pStyle w:val="Paragraphedeliste"/>
        <w:numPr>
          <w:ilvl w:val="0"/>
          <w:numId w:val="39"/>
        </w:numPr>
        <w:spacing w:line="360" w:lineRule="auto"/>
      </w:pPr>
      <w:r>
        <w:t>Se connecter à SSAS, en fournissant le nom de la base SSAS et du cube à traiter</w:t>
      </w:r>
    </w:p>
    <w:p w:rsidR="0063769D" w:rsidRDefault="00733DE0" w:rsidP="00733DE0">
      <w:pPr>
        <w:pStyle w:val="Paragraphedeliste"/>
        <w:numPr>
          <w:ilvl w:val="0"/>
          <w:numId w:val="39"/>
        </w:numPr>
        <w:spacing w:line="360" w:lineRule="auto"/>
      </w:pPr>
      <w:r>
        <w:t xml:space="preserve">Récupérer le nom </w:t>
      </w:r>
      <w:r w:rsidR="00225DEB">
        <w:t xml:space="preserve">de toutes les </w:t>
      </w:r>
      <w:r>
        <w:t>dimension</w:t>
      </w:r>
      <w:r w:rsidR="00225DEB">
        <w:t>s</w:t>
      </w:r>
      <w:r>
        <w:t xml:space="preserve"> 1D du cube</w:t>
      </w:r>
      <w:r w:rsidR="00225DEB">
        <w:t xml:space="preserve"> (Métadonnées)</w:t>
      </w:r>
    </w:p>
    <w:p w:rsidR="00733DE0" w:rsidRDefault="00733DE0" w:rsidP="00733DE0">
      <w:pPr>
        <w:pStyle w:val="Paragraphedeliste"/>
        <w:numPr>
          <w:ilvl w:val="0"/>
          <w:numId w:val="39"/>
        </w:numPr>
        <w:spacing w:line="360" w:lineRule="auto"/>
      </w:pPr>
      <w:r>
        <w:t xml:space="preserve">Récupérer la volumétrie </w:t>
      </w:r>
      <w:r w:rsidR="00225DEB">
        <w:t>(Count) d’une table unique</w:t>
      </w:r>
      <w:r w:rsidR="0005525E">
        <w:t>,</w:t>
      </w:r>
      <w:r w:rsidR="00225DEB">
        <w:t xml:space="preserve"> groupée sur une ou </w:t>
      </w:r>
      <w:r w:rsidR="0005525E">
        <w:t>plusieurs</w:t>
      </w:r>
      <w:r w:rsidR="00225DEB">
        <w:t xml:space="preserve"> de ses colonnes (Requête MDX ?)</w:t>
      </w:r>
    </w:p>
    <w:p w:rsidR="00733DE0" w:rsidRDefault="00733DE0" w:rsidP="00733DE0">
      <w:pPr>
        <w:pStyle w:val="Paragraphedeliste"/>
        <w:numPr>
          <w:ilvl w:val="0"/>
          <w:numId w:val="39"/>
        </w:numPr>
        <w:spacing w:line="360" w:lineRule="auto"/>
      </w:pPr>
      <w:r>
        <w:t>Récupérer l’occupation disque totale</w:t>
      </w:r>
      <w:r w:rsidRPr="00733DE0">
        <w:t xml:space="preserve"> </w:t>
      </w:r>
      <w:r w:rsidR="00225DEB">
        <w:t>d’une dimension (Métadonnées)</w:t>
      </w:r>
    </w:p>
    <w:p w:rsidR="00733DE0" w:rsidRDefault="00733DE0" w:rsidP="00733DE0">
      <w:pPr>
        <w:pStyle w:val="Paragraphedeliste"/>
        <w:numPr>
          <w:ilvl w:val="0"/>
          <w:numId w:val="39"/>
        </w:numPr>
        <w:spacing w:line="360" w:lineRule="auto"/>
      </w:pPr>
      <w:r>
        <w:t>Former une requête de schéma d’agrégation</w:t>
      </w:r>
    </w:p>
    <w:p w:rsidR="00733DE0" w:rsidRDefault="00733DE0" w:rsidP="00733DE0">
      <w:pPr>
        <w:pStyle w:val="Paragraphedeliste"/>
        <w:numPr>
          <w:ilvl w:val="0"/>
          <w:numId w:val="39"/>
        </w:numPr>
        <w:spacing w:line="360" w:lineRule="auto"/>
      </w:pPr>
      <w:r>
        <w:t>Envoyer à SSAS la requête de schéma d’agrégation</w:t>
      </w:r>
    </w:p>
    <w:p w:rsidR="00733DE0" w:rsidRDefault="00733DE0" w:rsidP="00733DE0">
      <w:pPr>
        <w:pStyle w:val="Paragraphedeliste"/>
        <w:numPr>
          <w:ilvl w:val="0"/>
          <w:numId w:val="39"/>
        </w:numPr>
        <w:spacing w:line="360" w:lineRule="auto"/>
      </w:pPr>
      <w:r>
        <w:t>Envoyer à SSAS la demande de recalcule des agrégats</w:t>
      </w:r>
    </w:p>
    <w:p w:rsidR="0063769D" w:rsidRDefault="00733DE0" w:rsidP="0063769D">
      <w:pPr>
        <w:pStyle w:val="Paragraphedeliste"/>
        <w:numPr>
          <w:ilvl w:val="0"/>
          <w:numId w:val="39"/>
        </w:numPr>
        <w:spacing w:line="360" w:lineRule="auto"/>
      </w:pPr>
      <w:r>
        <w:t>Se déconnecter de SSAS</w:t>
      </w:r>
    </w:p>
    <w:p w:rsidR="0063769D" w:rsidRDefault="0063769D" w:rsidP="0063769D">
      <w:pPr>
        <w:pStyle w:val="Titre2"/>
      </w:pPr>
      <w:proofErr w:type="spellStart"/>
      <w:r w:rsidRPr="0063769D">
        <w:t>Analysis</w:t>
      </w:r>
      <w:proofErr w:type="spellEnd"/>
      <w:r w:rsidRPr="0063769D">
        <w:t xml:space="preserve"> Management </w:t>
      </w:r>
      <w:proofErr w:type="spellStart"/>
      <w:r w:rsidRPr="0063769D">
        <w:t>Objects</w:t>
      </w:r>
      <w:proofErr w:type="spellEnd"/>
      <w:r>
        <w:t xml:space="preserve"> OLAP</w:t>
      </w:r>
    </w:p>
    <w:p w:rsidR="0063769D" w:rsidRDefault="0063769D" w:rsidP="0063769D">
      <w:r>
        <w:t xml:space="preserve">On utilisera la </w:t>
      </w:r>
      <w:r w:rsidRPr="00225DEB">
        <w:t>librairie</w:t>
      </w:r>
      <w:r w:rsidR="00225DEB">
        <w:t xml:space="preserve"> de classes</w:t>
      </w:r>
      <w:r>
        <w:t xml:space="preserve"> </w:t>
      </w:r>
      <w:proofErr w:type="spellStart"/>
      <w:r w:rsidRPr="0063769D">
        <w:rPr>
          <w:b/>
        </w:rPr>
        <w:t>Analysis</w:t>
      </w:r>
      <w:proofErr w:type="spellEnd"/>
      <w:r w:rsidRPr="0063769D">
        <w:rPr>
          <w:b/>
        </w:rPr>
        <w:t xml:space="preserve"> Management </w:t>
      </w:r>
      <w:proofErr w:type="spellStart"/>
      <w:r w:rsidRPr="0063769D">
        <w:rPr>
          <w:b/>
        </w:rPr>
        <w:t>Objects</w:t>
      </w:r>
      <w:proofErr w:type="spellEnd"/>
      <w:r w:rsidRPr="0063769D">
        <w:rPr>
          <w:b/>
        </w:rPr>
        <w:t xml:space="preserve"> (AMO)</w:t>
      </w:r>
      <w:r>
        <w:t xml:space="preserve"> pour implémenter les fonctionnalités de manipulation d’agrégats :</w:t>
      </w:r>
    </w:p>
    <w:p w:rsidR="0063769D" w:rsidRPr="00225DEB" w:rsidRDefault="00225DEB" w:rsidP="0063769D">
      <w:pPr>
        <w:pStyle w:val="Paragraphedeliste"/>
        <w:numPr>
          <w:ilvl w:val="0"/>
          <w:numId w:val="32"/>
        </w:numPr>
        <w:rPr>
          <w:highlight w:val="yellow"/>
        </w:rPr>
      </w:pPr>
      <w:r w:rsidRPr="00225DEB">
        <w:rPr>
          <w:highlight w:val="yellow"/>
        </w:rPr>
        <w:t>******</w:t>
      </w:r>
    </w:p>
    <w:p w:rsidR="0063769D" w:rsidRPr="0063769D" w:rsidRDefault="0063769D" w:rsidP="0063769D">
      <w:r>
        <w:t xml:space="preserve">Un </w:t>
      </w:r>
      <w:r w:rsidR="004042FD">
        <w:t xml:space="preserve">lien vers la section dédié MSDN </w:t>
      </w:r>
      <w:r>
        <w:t>« </w:t>
      </w:r>
      <w:proofErr w:type="spellStart"/>
      <w:r w:rsidRPr="0063769D">
        <w:rPr>
          <w:b/>
          <w:i/>
        </w:rPr>
        <w:t>Multidimensional</w:t>
      </w:r>
      <w:proofErr w:type="spellEnd"/>
      <w:r w:rsidRPr="0063769D">
        <w:rPr>
          <w:b/>
          <w:i/>
        </w:rPr>
        <w:t xml:space="preserve"> Model </w:t>
      </w:r>
      <w:proofErr w:type="spellStart"/>
      <w:r w:rsidRPr="0063769D">
        <w:rPr>
          <w:b/>
          <w:i/>
        </w:rPr>
        <w:t>Programming</w:t>
      </w:r>
      <w:proofErr w:type="spellEnd"/>
      <w:r>
        <w:t xml:space="preserve"> » </w:t>
      </w:r>
      <w:r w:rsidR="004042FD">
        <w:t xml:space="preserve">est donné </w:t>
      </w:r>
      <w:r>
        <w:t>en annexe.</w:t>
      </w:r>
    </w:p>
    <w:p w:rsidR="0063769D" w:rsidRDefault="0063769D" w:rsidP="00136616">
      <w:pPr>
        <w:pStyle w:val="Titre2"/>
      </w:pPr>
    </w:p>
    <w:p w:rsidR="00136616" w:rsidRDefault="00136616" w:rsidP="00136616">
      <w:pPr>
        <w:pStyle w:val="Titre2"/>
      </w:pPr>
      <w:r>
        <w:t>Librairie ADOMD.NET</w:t>
      </w:r>
    </w:p>
    <w:p w:rsidR="0063769D" w:rsidRDefault="0063769D" w:rsidP="00136616">
      <w:r>
        <w:t xml:space="preserve">On utilisera la librairie </w:t>
      </w:r>
      <w:r w:rsidRPr="0063769D">
        <w:rPr>
          <w:b/>
        </w:rPr>
        <w:t>ADOMD.NET</w:t>
      </w:r>
      <w:r>
        <w:t xml:space="preserve"> pour se connecter à SSAS et implémenter une partie des fonctionnalités requises :</w:t>
      </w:r>
    </w:p>
    <w:p w:rsidR="0063769D" w:rsidRPr="002D5FFE" w:rsidRDefault="002D5FFE" w:rsidP="0063769D">
      <w:pPr>
        <w:pStyle w:val="Paragraphedeliste"/>
        <w:numPr>
          <w:ilvl w:val="0"/>
          <w:numId w:val="32"/>
        </w:numPr>
      </w:pPr>
      <w:r>
        <w:t xml:space="preserve">Exécution de XMLA « brut » via </w:t>
      </w:r>
      <w:proofErr w:type="spellStart"/>
      <w:proofErr w:type="gramStart"/>
      <w:r w:rsidRPr="002D5FFE">
        <w:rPr>
          <w:b/>
          <w:i/>
        </w:rPr>
        <w:t>CreateCommand</w:t>
      </w:r>
      <w:proofErr w:type="spellEnd"/>
      <w:r w:rsidRPr="002D5FFE">
        <w:rPr>
          <w:b/>
          <w:i/>
        </w:rPr>
        <w:t>(</w:t>
      </w:r>
      <w:proofErr w:type="gramEnd"/>
      <w:r w:rsidRPr="002D5FFE">
        <w:rPr>
          <w:b/>
          <w:i/>
        </w:rPr>
        <w:t>)</w:t>
      </w:r>
      <w:r>
        <w:t xml:space="preserve">, </w:t>
      </w:r>
      <w:proofErr w:type="spellStart"/>
      <w:r w:rsidRPr="002D5FFE">
        <w:rPr>
          <w:b/>
          <w:i/>
        </w:rPr>
        <w:t>CommandText</w:t>
      </w:r>
      <w:proofErr w:type="spellEnd"/>
      <w:r w:rsidRPr="002D5FFE">
        <w:rPr>
          <w:b/>
          <w:i/>
        </w:rPr>
        <w:t xml:space="preserve"> </w:t>
      </w:r>
      <w:r>
        <w:t xml:space="preserve">puis </w:t>
      </w:r>
      <w:proofErr w:type="spellStart"/>
      <w:r w:rsidRPr="002D5FFE">
        <w:rPr>
          <w:b/>
          <w:i/>
        </w:rPr>
        <w:t>ExecuteNonQuery</w:t>
      </w:r>
      <w:proofErr w:type="spellEnd"/>
      <w:r w:rsidRPr="002D5FFE">
        <w:rPr>
          <w:b/>
          <w:i/>
        </w:rPr>
        <w:t>()</w:t>
      </w:r>
    </w:p>
    <w:p w:rsidR="002D5FFE" w:rsidRDefault="002D5FFE" w:rsidP="0063769D">
      <w:pPr>
        <w:pStyle w:val="Paragraphedeliste"/>
        <w:numPr>
          <w:ilvl w:val="0"/>
          <w:numId w:val="32"/>
        </w:numPr>
      </w:pPr>
      <w:r>
        <w:t xml:space="preserve">Recherche de </w:t>
      </w:r>
      <w:r w:rsidR="00733DE0">
        <w:t>métadonnées</w:t>
      </w:r>
      <w:r>
        <w:t xml:space="preserve"> du cube</w:t>
      </w:r>
      <w:r w:rsidR="00733DE0">
        <w:t xml:space="preserve"> via</w:t>
      </w:r>
      <w:r w:rsidR="00225DEB">
        <w:t xml:space="preserve"> </w:t>
      </w:r>
      <w:r w:rsidR="00225DEB" w:rsidRPr="00225DEB">
        <w:rPr>
          <w:highlight w:val="yellow"/>
        </w:rPr>
        <w:t>*******</w:t>
      </w:r>
    </w:p>
    <w:p w:rsidR="003763CF" w:rsidRDefault="00136616" w:rsidP="00136616">
      <w:r>
        <w:t>Un lien vers la section dédié MSDN « </w:t>
      </w:r>
      <w:r w:rsidRPr="00CE54EB">
        <w:rPr>
          <w:b/>
          <w:i/>
        </w:rPr>
        <w:t xml:space="preserve">ADOMD.NET Client </w:t>
      </w:r>
      <w:proofErr w:type="spellStart"/>
      <w:r w:rsidRPr="00CE54EB">
        <w:rPr>
          <w:b/>
          <w:i/>
        </w:rPr>
        <w:t>Programming</w:t>
      </w:r>
      <w:proofErr w:type="spellEnd"/>
      <w:r>
        <w:t> »</w:t>
      </w:r>
      <w:r w:rsidR="004042FD">
        <w:t xml:space="preserve"> est donné</w:t>
      </w:r>
      <w:r>
        <w:t xml:space="preserve"> en annexe.</w:t>
      </w:r>
    </w:p>
    <w:p w:rsidR="00225DEB" w:rsidRDefault="00225DEB" w:rsidP="00136616"/>
    <w:p w:rsidR="00136616" w:rsidRDefault="00136616" w:rsidP="00136616">
      <w:pPr>
        <w:pStyle w:val="Titre2"/>
        <w:rPr>
          <w:lang w:eastAsia="zh-CN"/>
        </w:rPr>
      </w:pPr>
      <w:r>
        <w:rPr>
          <w:lang w:eastAsia="zh-CN"/>
        </w:rPr>
        <w:t>Conception en vue de passage en Web-service</w:t>
      </w:r>
    </w:p>
    <w:p w:rsidR="00136616" w:rsidRDefault="00136616" w:rsidP="00136616">
      <w:pPr>
        <w:rPr>
          <w:lang w:eastAsia="zh-CN"/>
        </w:rPr>
      </w:pPr>
      <w:r>
        <w:rPr>
          <w:lang w:eastAsia="zh-CN"/>
        </w:rPr>
        <w:t>Lors de la conception du code, on s’attachera à séparer les fonctions en 2 groupes :</w:t>
      </w:r>
    </w:p>
    <w:p w:rsidR="00136616" w:rsidRDefault="00136616" w:rsidP="00136616">
      <w:pPr>
        <w:pStyle w:val="Paragraphedeliste"/>
        <w:numPr>
          <w:ilvl w:val="0"/>
          <w:numId w:val="38"/>
        </w:numPr>
        <w:rPr>
          <w:lang w:eastAsia="zh-CN"/>
        </w:rPr>
      </w:pPr>
      <w:r w:rsidRPr="00136616">
        <w:rPr>
          <w:b/>
          <w:lang w:eastAsia="zh-CN"/>
        </w:rPr>
        <w:t>Un groupe de fonctions dédiées aux interactions avec SSAS</w:t>
      </w:r>
      <w:r>
        <w:rPr>
          <w:lang w:eastAsia="zh-CN"/>
        </w:rPr>
        <w:t>, au travers de la librairie ADOMD.NET</w:t>
      </w:r>
      <w:r w:rsidR="0063769D">
        <w:rPr>
          <w:lang w:eastAsia="zh-CN"/>
        </w:rPr>
        <w:t xml:space="preserve"> et/ou de code XMLA</w:t>
      </w:r>
      <w:r>
        <w:rPr>
          <w:lang w:eastAsia="zh-CN"/>
        </w:rPr>
        <w:t>. Elles constitueront plus tard le client du Web-service de calcul.</w:t>
      </w:r>
    </w:p>
    <w:p w:rsidR="00136616" w:rsidRPr="00136616" w:rsidRDefault="00136616" w:rsidP="00136616">
      <w:pPr>
        <w:pStyle w:val="Paragraphedeliste"/>
        <w:numPr>
          <w:ilvl w:val="0"/>
          <w:numId w:val="38"/>
        </w:numPr>
        <w:rPr>
          <w:lang w:eastAsia="zh-CN"/>
        </w:rPr>
      </w:pPr>
      <w:r w:rsidRPr="00136616">
        <w:rPr>
          <w:b/>
          <w:lang w:eastAsia="zh-CN"/>
        </w:rPr>
        <w:lastRenderedPageBreak/>
        <w:t>Un groupe de fonctions dédiées aux calculs à proprement parler</w:t>
      </w:r>
      <w:r>
        <w:rPr>
          <w:lang w:eastAsia="zh-CN"/>
        </w:rPr>
        <w:t>, sans utilisation directe de la librairie ADOMD.NET. Elles constitueront plus tard le Web-service de calcul.</w:t>
      </w:r>
    </w:p>
    <w:p w:rsidR="00733F35" w:rsidRPr="00733F35" w:rsidRDefault="00733F35" w:rsidP="00733F35">
      <w:pPr>
        <w:pStyle w:val="Titre1"/>
      </w:pPr>
      <w:r>
        <w:t>Améliorations possibles</w:t>
      </w:r>
      <w:bookmarkEnd w:id="9"/>
    </w:p>
    <w:p w:rsidR="00261FEB" w:rsidRDefault="001363BF" w:rsidP="00221F97">
      <w:pPr>
        <w:pStyle w:val="Titre2"/>
      </w:pPr>
      <w:bookmarkStart w:id="10" w:name="_Toc426298991"/>
      <w:r>
        <w:t xml:space="preserve">Affinement de la volumétrie </w:t>
      </w:r>
      <w:r w:rsidR="002B2DFA">
        <w:t>de chaque attributs</w:t>
      </w:r>
      <w:bookmarkEnd w:id="10"/>
    </w:p>
    <w:p w:rsidR="002B2DFA" w:rsidRDefault="002B2DFA" w:rsidP="002B2DFA">
      <w:r>
        <w:t>On conservera le niveau le plus bas de l’ensemble des reports.</w:t>
      </w:r>
    </w:p>
    <w:p w:rsid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clients</w:t>
      </w:r>
      <w:r>
        <w:t>, le niveau le plus fin est celui de la ville des clients pour y récupérer la population (Reports R9 et R10)</w:t>
      </w:r>
    </w:p>
    <w:p w:rsid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lieux</w:t>
      </w:r>
      <w:r>
        <w:t>, le niveau le plus fin est le magasin (Report R9)</w:t>
      </w:r>
    </w:p>
    <w:p w:rsidR="002B2DFA" w:rsidRP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t xml:space="preserve">Sur la dimension des </w:t>
      </w:r>
      <w:r w:rsidRPr="001363BF">
        <w:rPr>
          <w:b/>
        </w:rPr>
        <w:t>dates</w:t>
      </w:r>
      <w:r w:rsidRPr="002B2DFA">
        <w:t>, le niveau le plus fin est le mois (Reports R1, R3, R5 à R10)</w:t>
      </w:r>
    </w:p>
    <w:p w:rsid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produits</w:t>
      </w:r>
      <w:r>
        <w:t>, le niveau le plus fin est celui de la famille des produits (Reports R6 et R8)</w:t>
      </w:r>
    </w:p>
    <w:p w:rsidR="002B2DFA" w:rsidRDefault="002B2DFA" w:rsidP="002B2DFA">
      <w:pPr>
        <w:ind w:right="440"/>
      </w:pPr>
      <w:r>
        <w:t>D</w:t>
      </w:r>
      <w:r w:rsidR="001363BF">
        <w:t>’où les quantifications suivantes</w:t>
      </w:r>
      <w:r w:rsidR="002F61C4">
        <w:t xml:space="preserve"> </w:t>
      </w:r>
      <w:r w:rsidR="001363BF">
        <w:t>: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Clients » </w:t>
      </w:r>
      <w:r>
        <w:t>: Autant que de villes liées aux clients</w:t>
      </w:r>
      <w:r w:rsidR="002F61C4">
        <w:t xml:space="preserve"> enregistrés</w:t>
      </w:r>
      <w:r>
        <w:t>, car une valeur de population par ville</w:t>
      </w:r>
      <w:r w:rsidR="002F61C4">
        <w:t>.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Lieux »</w:t>
      </w:r>
      <w:r>
        <w:t> : Autant que de points de vente (Magasins et site Internet)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Dates » </w:t>
      </w:r>
      <w:r>
        <w:t>: Autant que de nombre de couples {Mois ; Année}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Produits » </w:t>
      </w:r>
      <w:r>
        <w:t>: Autant que de familles de produits</w:t>
      </w:r>
    </w:p>
    <w:p w:rsidR="006555DC" w:rsidRDefault="006555DC" w:rsidP="002B2DFA">
      <w:pPr>
        <w:ind w:right="440"/>
      </w:pPr>
      <w:r>
        <w:t xml:space="preserve">Cette approche va fortement diminuer </w:t>
      </w:r>
      <w:r w:rsidR="00F5704E">
        <w:t>la volumétrie</w:t>
      </w:r>
      <w:r>
        <w:t xml:space="preserve"> de certaines dimensions, et permettra de stocker plus de vue matérialisées dans le même espace disque. </w:t>
      </w:r>
    </w:p>
    <w:p w:rsidR="001363BF" w:rsidRDefault="006555DC" w:rsidP="002B2DFA">
      <w:pPr>
        <w:ind w:right="440"/>
      </w:pPr>
      <w:r>
        <w:t xml:space="preserve">Toutefois, cette approche n’est pas adaptée pour </w:t>
      </w:r>
      <w:r w:rsidR="00F5704E">
        <w:t>l’utilisation</w:t>
      </w:r>
      <w:r>
        <w:t xml:space="preserve"> de type « </w:t>
      </w:r>
      <w:r w:rsidRPr="0063769D">
        <w:rPr>
          <w:i/>
        </w:rPr>
        <w:t xml:space="preserve">Business </w:t>
      </w:r>
      <w:proofErr w:type="spellStart"/>
      <w:r w:rsidRPr="0063769D">
        <w:rPr>
          <w:i/>
        </w:rPr>
        <w:t>Discovery</w:t>
      </w:r>
      <w:proofErr w:type="spellEnd"/>
      <w:r>
        <w:t> » (</w:t>
      </w:r>
      <w:proofErr w:type="spellStart"/>
      <w:r w:rsidRPr="0063769D">
        <w:rPr>
          <w:i/>
        </w:rPr>
        <w:t>QlikView</w:t>
      </w:r>
      <w:proofErr w:type="spellEnd"/>
      <w:r>
        <w:t xml:space="preserve">, </w:t>
      </w:r>
      <w:r w:rsidRPr="0063769D">
        <w:rPr>
          <w:i/>
        </w:rPr>
        <w:t>Excel</w:t>
      </w:r>
      <w:r>
        <w:t xml:space="preserve"> et </w:t>
      </w:r>
      <w:r w:rsidRPr="0063769D">
        <w:rPr>
          <w:i/>
        </w:rPr>
        <w:t>Power Pivot</w:t>
      </w:r>
      <w:r>
        <w:t>…) car on ne connait pas à l’avance les requêtes MDX qui seront faites sur le cube, et donc on ne peut pas prévoir efficacement les « raccourcis » de la matérialisation partielle.</w:t>
      </w:r>
    </w:p>
    <w:p w:rsidR="00F5704E" w:rsidRDefault="00F5704E" w:rsidP="002B2DFA">
      <w:pPr>
        <w:ind w:right="440"/>
      </w:pPr>
    </w:p>
    <w:p w:rsidR="00733F35" w:rsidRDefault="00733F35" w:rsidP="00733F35">
      <w:pPr>
        <w:pStyle w:val="Titre2"/>
      </w:pPr>
      <w:bookmarkStart w:id="11" w:name="_Toc426298992"/>
      <w:r>
        <w:t>Discrétisation de données continues</w:t>
      </w:r>
      <w:bookmarkEnd w:id="11"/>
    </w:p>
    <w:p w:rsidR="00733F35" w:rsidRDefault="00733F35" w:rsidP="00733F35">
      <w:r>
        <w:t>Les informations « continues » des tables de dimensions devraient toutes être « discrétisées » pour les rendre mieux exploitables par SSAS :</w:t>
      </w:r>
    </w:p>
    <w:tbl>
      <w:tblPr>
        <w:tblStyle w:val="GridTable4Accent1"/>
        <w:tblW w:w="0" w:type="auto"/>
        <w:tblLook w:val="04A0"/>
      </w:tblPr>
      <w:tblGrid>
        <w:gridCol w:w="5303"/>
        <w:gridCol w:w="5303"/>
      </w:tblGrid>
      <w:tr w:rsidR="00733F35" w:rsidTr="00733F35">
        <w:trPr>
          <w:cnfStyle w:val="100000000000"/>
        </w:trPr>
        <w:tc>
          <w:tcPr>
            <w:cnfStyle w:val="001000000000"/>
            <w:tcW w:w="5303" w:type="dxa"/>
          </w:tcPr>
          <w:p w:rsidR="00733F35" w:rsidRDefault="00733F35" w:rsidP="00733F35">
            <w:r>
              <w:t>Informations brutes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100000000000"/>
            </w:pPr>
            <w:r>
              <w:t>Informations discrétisées</w:t>
            </w:r>
          </w:p>
        </w:tc>
      </w:tr>
      <w:tr w:rsidR="00733F35" w:rsidTr="00733F35">
        <w:trPr>
          <w:cnfStyle w:val="000000100000"/>
        </w:trPr>
        <w:tc>
          <w:tcPr>
            <w:cnfStyle w:val="001000000000"/>
            <w:tcW w:w="5303" w:type="dxa"/>
          </w:tcPr>
          <w:p w:rsidR="00733F35" w:rsidRDefault="00733F35" w:rsidP="00733F35">
            <w:r>
              <w:t>Age du client « physique » ou « moral »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100000"/>
            </w:pPr>
            <w:r>
              <w:t>Tranches d’âges par 5 ans, entre 0 et 80 ans (Si plus : Inclus dans la dernière tranche)</w:t>
            </w:r>
          </w:p>
        </w:tc>
      </w:tr>
      <w:tr w:rsidR="00733F35" w:rsidTr="00733F35">
        <w:tc>
          <w:tcPr>
            <w:cnfStyle w:val="001000000000"/>
            <w:tcW w:w="5303" w:type="dxa"/>
          </w:tcPr>
          <w:p w:rsidR="00733F35" w:rsidRDefault="00733F35" w:rsidP="00733F35">
            <w:r>
              <w:t>Pourcentage de réduction fidélité du client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000000"/>
            </w:pPr>
            <w:r>
              <w:t>Tranches de pourcentages par 5 % entre 0 et 100 %</w:t>
            </w:r>
          </w:p>
        </w:tc>
      </w:tr>
      <w:tr w:rsidR="00733F35" w:rsidTr="00733F35">
        <w:trPr>
          <w:cnfStyle w:val="000000100000"/>
        </w:trPr>
        <w:tc>
          <w:tcPr>
            <w:cnfStyle w:val="001000000000"/>
            <w:tcW w:w="5303" w:type="dxa"/>
          </w:tcPr>
          <w:p w:rsidR="00733F35" w:rsidRDefault="00733F35" w:rsidP="00733F35">
            <w:r>
              <w:t>Date d’ouverture du magasin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100000"/>
            </w:pPr>
            <w:r>
              <w:t>Année d’ouverture</w:t>
            </w:r>
          </w:p>
        </w:tc>
      </w:tr>
      <w:tr w:rsidR="00733F35" w:rsidTr="00733F35">
        <w:tc>
          <w:tcPr>
            <w:cnfStyle w:val="001000000000"/>
            <w:tcW w:w="5303" w:type="dxa"/>
          </w:tcPr>
          <w:p w:rsidR="00733F35" w:rsidRDefault="00733F35" w:rsidP="00733F35">
            <w:r>
              <w:t>Surface du magasin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000000"/>
            </w:pPr>
            <w:r>
              <w:t>3 classes : [</w:t>
            </w:r>
            <w:proofErr w:type="gramStart"/>
            <w:r>
              <w:t>0 ..</w:t>
            </w:r>
            <w:proofErr w:type="gramEnd"/>
            <w:r>
              <w:t xml:space="preserve"> 200] , [200 .. 2000] , [2000 .. + INF] m²</w:t>
            </w:r>
          </w:p>
        </w:tc>
      </w:tr>
      <w:tr w:rsidR="00733F35" w:rsidTr="00733F35">
        <w:trPr>
          <w:cnfStyle w:val="000000100000"/>
        </w:trPr>
        <w:tc>
          <w:tcPr>
            <w:cnfStyle w:val="001000000000"/>
            <w:tcW w:w="5303" w:type="dxa"/>
          </w:tcPr>
          <w:p w:rsidR="00733F35" w:rsidRDefault="00733F35" w:rsidP="00733F35">
            <w:r>
              <w:t>Population d’une ville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100000"/>
            </w:pPr>
            <w:r>
              <w:t>5 classes : [0 .. 5 000] , [5 000 .. 10 000] , [10 000 .. 50 000] , [50 000 .. 200 000] , [200 000 .. +INF] habitants</w:t>
            </w:r>
          </w:p>
        </w:tc>
      </w:tr>
    </w:tbl>
    <w:p w:rsidR="00733F35" w:rsidRDefault="00733F35" w:rsidP="00733F35"/>
    <w:p w:rsidR="002B2DFA" w:rsidRDefault="00733F35" w:rsidP="00733F35">
      <w:r>
        <w:t>Par extension, seules les tables de faits devraient contenir des informations continues, comme les quantités ou les montants de vente et de marge.</w:t>
      </w:r>
    </w:p>
    <w:p w:rsidR="00F5704E" w:rsidRPr="002B2DFA" w:rsidRDefault="00F5704E" w:rsidP="00733F35"/>
    <w:p w:rsidR="00733F35" w:rsidRDefault="00733F35" w:rsidP="00733F35">
      <w:pPr>
        <w:pStyle w:val="Titre2"/>
      </w:pPr>
      <w:bookmarkStart w:id="12" w:name="_Toc426298993"/>
      <w:r>
        <w:t>Impact de la hiérarchie des dimensions</w:t>
      </w:r>
      <w:bookmarkEnd w:id="12"/>
    </w:p>
    <w:p w:rsidR="00733F35" w:rsidRDefault="00733F35" w:rsidP="00733F35">
      <w:r>
        <w:t xml:space="preserve">Dans une dimension donnée, </w:t>
      </w:r>
      <w:r w:rsidR="00F5704E">
        <w:t>toutes les informations non-liées</w:t>
      </w:r>
      <w:r>
        <w:t xml:space="preserve"> (</w:t>
      </w:r>
      <w:proofErr w:type="spellStart"/>
      <w:r>
        <w:t>cad</w:t>
      </w:r>
      <w:proofErr w:type="spellEnd"/>
      <w:r>
        <w:t>. Contenant des informations qui sont fonctionnellement différentes) sont des axes d’analyse à par</w:t>
      </w:r>
      <w:r w:rsidR="00F25435">
        <w:t xml:space="preserve">t entière. Par extension, toutes les </w:t>
      </w:r>
      <w:r>
        <w:t xml:space="preserve">informations </w:t>
      </w:r>
      <w:r w:rsidR="00F25435">
        <w:t>liées</w:t>
      </w:r>
      <w:r>
        <w:t xml:space="preserve"> peuvent être obtenues à partir de leur parent</w:t>
      </w:r>
      <w:r w:rsidR="00F25435">
        <w:t>(s)</w:t>
      </w:r>
    </w:p>
    <w:p w:rsidR="00733F35" w:rsidRPr="00733F35" w:rsidRDefault="00733F35" w:rsidP="00733F35">
      <w:pPr>
        <w:pStyle w:val="Paragraphedeliste"/>
        <w:numPr>
          <w:ilvl w:val="0"/>
          <w:numId w:val="23"/>
        </w:numPr>
        <w:rPr>
          <w:i/>
        </w:rPr>
      </w:pPr>
      <w:r w:rsidRPr="00733F35">
        <w:rPr>
          <w:b/>
          <w:i/>
        </w:rPr>
        <w:lastRenderedPageBreak/>
        <w:t>Exemple 1</w:t>
      </w:r>
      <w:r w:rsidRPr="00733F35">
        <w:rPr>
          <w:i/>
        </w:rPr>
        <w:t xml:space="preserve"> : Ville </w:t>
      </w:r>
      <w:r w:rsidRPr="00733F35">
        <w:rPr>
          <w:i/>
        </w:rPr>
        <w:sym w:font="Symbol" w:char="F020"/>
      </w:r>
      <w:r w:rsidRPr="00733F35">
        <w:rPr>
          <w:i/>
        </w:rPr>
        <w:sym w:font="Symbol" w:char="F0DE"/>
      </w:r>
      <w:r w:rsidRPr="00733F35">
        <w:rPr>
          <w:i/>
        </w:rPr>
        <w:t xml:space="preserve"> Un unique département  </w:t>
      </w:r>
      <w:r w:rsidRPr="00733F35">
        <w:rPr>
          <w:i/>
        </w:rPr>
        <w:sym w:font="Symbol" w:char="F020"/>
      </w:r>
      <w:r w:rsidRPr="00733F35">
        <w:rPr>
          <w:i/>
        </w:rPr>
        <w:sym w:font="Symbol" w:char="F0DE"/>
      </w:r>
      <w:r w:rsidRPr="00733F35">
        <w:rPr>
          <w:i/>
        </w:rPr>
        <w:t xml:space="preserve"> Une unique région</w:t>
      </w:r>
      <w:r>
        <w:rPr>
          <w:i/>
        </w:rPr>
        <w:t>, ces information</w:t>
      </w:r>
      <w:r w:rsidR="00F25435">
        <w:rPr>
          <w:i/>
        </w:rPr>
        <w:t>s sont donc liées entre elles, et ne constituent pas deux axes fonctionnels d’analyse.</w:t>
      </w:r>
    </w:p>
    <w:p w:rsidR="00733F35" w:rsidRPr="00733F35" w:rsidRDefault="00733F35" w:rsidP="00733F35">
      <w:pPr>
        <w:pStyle w:val="Paragraphedeliste"/>
        <w:numPr>
          <w:ilvl w:val="0"/>
          <w:numId w:val="23"/>
        </w:numPr>
        <w:rPr>
          <w:i/>
        </w:rPr>
      </w:pPr>
      <w:r w:rsidRPr="00733F35">
        <w:rPr>
          <w:b/>
          <w:i/>
        </w:rPr>
        <w:t>Exemple 2</w:t>
      </w:r>
      <w:r w:rsidRPr="00733F35">
        <w:rPr>
          <w:i/>
        </w:rPr>
        <w:t xml:space="preserve"> : Age client &amp; villes clients </w:t>
      </w:r>
      <w:r w:rsidR="00F25435">
        <w:rPr>
          <w:i/>
        </w:rPr>
        <w:t>ne sont pas liées entre elles</w:t>
      </w:r>
      <w:proofErr w:type="gramStart"/>
      <w:r w:rsidR="00F25435">
        <w:rPr>
          <w:i/>
        </w:rPr>
        <w:t>,</w:t>
      </w:r>
      <w:r w:rsidRPr="00733F35">
        <w:rPr>
          <w:i/>
        </w:rPr>
        <w:t>,</w:t>
      </w:r>
      <w:proofErr w:type="gramEnd"/>
      <w:r w:rsidRPr="00733F35">
        <w:rPr>
          <w:i/>
        </w:rPr>
        <w:t xml:space="preserve"> car il n’y a pas de unicité entre l’âge d’un client et sa ville.</w:t>
      </w:r>
      <w:r>
        <w:rPr>
          <w:i/>
        </w:rPr>
        <w:t xml:space="preserve"> Ces informations </w:t>
      </w:r>
      <w:r w:rsidR="00F25435">
        <w:rPr>
          <w:i/>
        </w:rPr>
        <w:t>constituent donc deux axes fonctionnels d’analyse.</w:t>
      </w:r>
    </w:p>
    <w:p w:rsidR="00733F35" w:rsidRPr="00733F35" w:rsidRDefault="00733F35" w:rsidP="00733F35">
      <w:r w:rsidRPr="00733F35">
        <w:t xml:space="preserve">On distinguera donc deux types d’agrégats : </w:t>
      </w:r>
    </w:p>
    <w:p w:rsidR="00733F35" w:rsidRDefault="00733F35" w:rsidP="00733F35">
      <w:pPr>
        <w:pStyle w:val="Paragraphedeliste"/>
        <w:numPr>
          <w:ilvl w:val="0"/>
          <w:numId w:val="29"/>
        </w:numPr>
      </w:pPr>
      <w:r w:rsidRPr="00733F35">
        <w:rPr>
          <w:b/>
        </w:rPr>
        <w:t>Agrégats « </w:t>
      </w:r>
      <w:r>
        <w:rPr>
          <w:b/>
        </w:rPr>
        <w:t>fondamental</w:t>
      </w:r>
      <w:r w:rsidRPr="00733F35">
        <w:rPr>
          <w:b/>
        </w:rPr>
        <w:t> »</w:t>
      </w:r>
      <w:r>
        <w:t xml:space="preserve"> : Toutes les informations qui le composent </w:t>
      </w:r>
      <w:r w:rsidR="00F25435">
        <w:t xml:space="preserve">ne </w:t>
      </w:r>
      <w:r>
        <w:t>sont</w:t>
      </w:r>
      <w:r w:rsidR="00F25435">
        <w:t xml:space="preserve"> pas liées</w:t>
      </w:r>
      <w:r>
        <w:t xml:space="preserve"> entre elles.</w:t>
      </w:r>
    </w:p>
    <w:p w:rsidR="007262F1" w:rsidRDefault="00733F35" w:rsidP="00531385">
      <w:pPr>
        <w:pStyle w:val="Paragraphedeliste"/>
        <w:numPr>
          <w:ilvl w:val="0"/>
          <w:numId w:val="29"/>
        </w:numPr>
      </w:pPr>
      <w:r w:rsidRPr="00733F35">
        <w:rPr>
          <w:b/>
        </w:rPr>
        <w:t>Agrégats « d’optimisation » </w:t>
      </w:r>
      <w:r>
        <w:t xml:space="preserve">: </w:t>
      </w:r>
      <w:r w:rsidR="00F25435">
        <w:t>Les</w:t>
      </w:r>
      <w:r>
        <w:t xml:space="preserve"> informations qui le compose sont </w:t>
      </w:r>
      <w:r w:rsidR="00F25435">
        <w:t xml:space="preserve">liées </w:t>
      </w:r>
      <w:r>
        <w:t xml:space="preserve">entre elles, mais </w:t>
      </w:r>
      <w:r w:rsidR="00F25435">
        <w:t>leur</w:t>
      </w:r>
      <w:r>
        <w:t xml:space="preserve"> calcul </w:t>
      </w:r>
      <w:r w:rsidR="00F25435">
        <w:t>de somme « </w:t>
      </w:r>
      <w:r>
        <w:t>à la volée</w:t>
      </w:r>
      <w:r w:rsidR="00F25435">
        <w:t> »</w:t>
      </w:r>
      <w:r>
        <w:t xml:space="preserve"> nécessite</w:t>
      </w:r>
      <w:r w:rsidR="00F25435">
        <w:t>rait</w:t>
      </w:r>
      <w:r>
        <w:t xml:space="preserve"> </w:t>
      </w:r>
      <w:r w:rsidR="00F25435">
        <w:t>trop</w:t>
      </w:r>
      <w:r>
        <w:t xml:space="preserve"> de ressources et </w:t>
      </w:r>
      <w:r w:rsidR="00F25435">
        <w:t>pénaliserait</w:t>
      </w:r>
      <w:r>
        <w:t xml:space="preserve"> donc significativement les performances des requête MDX.</w:t>
      </w:r>
    </w:p>
    <w:p w:rsidR="00DE67FE" w:rsidRDefault="00DE67FE" w:rsidP="0047733B">
      <w:pPr>
        <w:pStyle w:val="Titre1"/>
      </w:pPr>
      <w:bookmarkStart w:id="13" w:name="_Toc426298994"/>
      <w:r>
        <w:t>Annexe</w:t>
      </w:r>
      <w:bookmarkEnd w:id="13"/>
    </w:p>
    <w:p w:rsidR="0063769D" w:rsidRDefault="0063769D" w:rsidP="0063769D">
      <w:pPr>
        <w:pStyle w:val="Titre2"/>
      </w:pPr>
      <w:bookmarkStart w:id="14" w:name="_Toc426298995"/>
      <w:r>
        <w:t xml:space="preserve">Lien MSDN </w:t>
      </w:r>
      <w:r w:rsidR="004042FD">
        <w:rPr>
          <w:lang/>
        </w:rPr>
        <w:t>”</w:t>
      </w:r>
      <w:proofErr w:type="spellStart"/>
      <w:r w:rsidRPr="0063769D">
        <w:t>Multidimensional</w:t>
      </w:r>
      <w:proofErr w:type="spellEnd"/>
      <w:r w:rsidRPr="0063769D">
        <w:t xml:space="preserve"> Model </w:t>
      </w:r>
      <w:proofErr w:type="spellStart"/>
      <w:r w:rsidRPr="0063769D">
        <w:t>Programming</w:t>
      </w:r>
      <w:proofErr w:type="spellEnd"/>
      <w:r w:rsidR="004042FD">
        <w:rPr>
          <w:lang/>
        </w:rPr>
        <w:t>”</w:t>
      </w:r>
    </w:p>
    <w:p w:rsidR="0063769D" w:rsidRDefault="004042FD" w:rsidP="004042FD">
      <w:hyperlink r:id="rId12" w:history="1">
        <w:r w:rsidRPr="00CB5CC3">
          <w:rPr>
            <w:rStyle w:val="Lienhypertexte"/>
          </w:rPr>
          <w:t>https://msdn.microsoft.com/en-us/library/hh230848(v=sql.120).aspx</w:t>
        </w:r>
      </w:hyperlink>
    </w:p>
    <w:p w:rsidR="004042FD" w:rsidRDefault="004042FD" w:rsidP="0047733B">
      <w:pPr>
        <w:pStyle w:val="Titre2"/>
      </w:pPr>
    </w:p>
    <w:p w:rsidR="00CE54EB" w:rsidRDefault="00CE54EB" w:rsidP="0047733B">
      <w:pPr>
        <w:pStyle w:val="Titre2"/>
        <w:rPr>
          <w:lang/>
        </w:rPr>
      </w:pPr>
      <w:r>
        <w:t>Lien MSDN</w:t>
      </w:r>
      <w:r w:rsidRPr="00CE54EB">
        <w:rPr>
          <w:lang/>
        </w:rPr>
        <w:t xml:space="preserve"> </w:t>
      </w:r>
      <w:r>
        <w:rPr>
          <w:lang/>
        </w:rPr>
        <w:t>“ADOMD.NET Client Programming”</w:t>
      </w:r>
    </w:p>
    <w:p w:rsidR="00CE54EB" w:rsidRDefault="00CE54EB" w:rsidP="00CE54EB">
      <w:pPr>
        <w:rPr>
          <w:lang/>
        </w:rPr>
      </w:pPr>
      <w:hyperlink r:id="rId13" w:history="1">
        <w:r w:rsidRPr="00CB5CC3">
          <w:rPr>
            <w:rStyle w:val="Lienhypertexte"/>
            <w:lang/>
          </w:rPr>
          <w:t>https://technet.microsoft.com/en-us/library/ms123477(v=sql.120).aspx</w:t>
        </w:r>
      </w:hyperlink>
    </w:p>
    <w:p w:rsidR="00CE54EB" w:rsidRDefault="00CE54EB" w:rsidP="0047733B">
      <w:pPr>
        <w:pStyle w:val="Titre2"/>
      </w:pPr>
    </w:p>
    <w:p w:rsidR="00DE67FE" w:rsidRDefault="00DE67FE" w:rsidP="0047733B">
      <w:pPr>
        <w:pStyle w:val="Titre2"/>
      </w:pPr>
      <w:r>
        <w:t xml:space="preserve">Script </w:t>
      </w:r>
      <w:r w:rsidR="0047733B">
        <w:t>de volumétrie de l’entrepôt de données</w:t>
      </w:r>
      <w:bookmarkEnd w:id="14"/>
    </w:p>
    <w:p w:rsidR="0047733B" w:rsidRPr="0047733B" w:rsidRDefault="0047733B" w:rsidP="0047733B"/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/*=====================================================================================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Fichier:     Script_Volumetrie_DWH.sql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Résumé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 Réalise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 comptage du cube sur les dimensions {CLIENT, LIEU, DATE, PRODUIT}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Date:     02/08/2015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SQL Server Version: 2014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======================================================================================*/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--&gt;&gt; NOTE: THIS SCRIPT MUST BE RUN IN SQLCMD MODE INSIDE SQL SERVER MANAGEMENT STUDIO. &lt;&lt;--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Menu "QUERY" &gt; "SQLCMD MODE"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  <w:highlight w:val="lightGray"/>
        </w:rPr>
        <w:t>:on</w:t>
      </w:r>
      <w:proofErr w:type="gramEnd"/>
      <w:r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lightGray"/>
        </w:rPr>
        <w:t>error</w:t>
      </w:r>
      <w:proofErr w:type="spellEnd"/>
      <w:r>
        <w:rPr>
          <w:rFonts w:ascii="Consolas" w:hAnsi="Consolas" w:cs="Consolas"/>
          <w:sz w:val="19"/>
          <w:szCs w:val="19"/>
          <w:highlight w:val="lightGray"/>
        </w:rPr>
        <w:t xml:space="preserve"> exit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Connexion à la base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DataWarehouseODE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{Client}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{Client – 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{Client – 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{Client – 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{Lieu – 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{Lieu – 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{Date – 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{Client – Date – 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{Lieu – Produit – Client}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{Date – Produit – 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{Date – Produit – Client}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{Lieu – Produit – Client - 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704E" w:rsidRDefault="00F5704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5704E" w:rsidRDefault="00F5704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5704E" w:rsidRPr="00BA0004" w:rsidRDefault="00F5704E" w:rsidP="00F5704E">
      <w:pPr>
        <w:pStyle w:val="Titre2"/>
      </w:pPr>
      <w:bookmarkStart w:id="15" w:name="_Toc426298979"/>
      <w:r>
        <w:t xml:space="preserve">Reports </w:t>
      </w:r>
      <w:bookmarkStart w:id="16" w:name="_Toc426298980"/>
      <w:bookmarkEnd w:id="15"/>
      <w:r>
        <w:t>SSRS p</w:t>
      </w:r>
      <w:r w:rsidRPr="00BA0004">
        <w:t>our les métiers de la Direction</w:t>
      </w:r>
      <w:bookmarkEnd w:id="16"/>
    </w:p>
    <w:p w:rsidR="00F5704E" w:rsidRPr="00BA0004" w:rsidRDefault="00F5704E" w:rsidP="00F5704E">
      <w:r w:rsidRPr="00BA0004">
        <w:t xml:space="preserve">Evolution (du CA ; de la marge) </w:t>
      </w:r>
      <w:r w:rsidRPr="00BA0004">
        <w:sym w:font="Symbol" w:char="F0C4"/>
      </w:r>
      <w:r w:rsidRPr="00BA0004">
        <w:t xml:space="preserve"> (par mois ; par année ; par département)</w:t>
      </w:r>
    </w:p>
    <w:p w:rsidR="00F5704E" w:rsidRPr="00BA0004" w:rsidRDefault="00F5704E" w:rsidP="00F5704E">
      <w:pPr>
        <w:numPr>
          <w:ilvl w:val="1"/>
          <w:numId w:val="24"/>
        </w:numPr>
      </w:pPr>
      <w:r w:rsidRPr="00BA0004">
        <w:rPr>
          <w:b/>
          <w:bCs/>
        </w:rPr>
        <w:t xml:space="preserve">  Report R1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sur la </w:t>
      </w:r>
      <w:r w:rsidRPr="00BA0004">
        <w:rPr>
          <w:u w:val="single"/>
        </w:rPr>
        <w:t>France entière</w:t>
      </w:r>
    </w:p>
    <w:p w:rsidR="00F5704E" w:rsidRPr="00BA0004" w:rsidRDefault="00F5704E" w:rsidP="00F5704E">
      <w:pPr>
        <w:numPr>
          <w:ilvl w:val="1"/>
          <w:numId w:val="24"/>
        </w:numPr>
      </w:pPr>
      <w:r w:rsidRPr="00BA0004">
        <w:t xml:space="preserve">  </w:t>
      </w:r>
      <w:r w:rsidRPr="00BA0004">
        <w:rPr>
          <w:b/>
          <w:bCs/>
        </w:rPr>
        <w:t xml:space="preserve">Report R2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année</w:t>
      </w:r>
      <w:r w:rsidRPr="00BA0004">
        <w:t xml:space="preserve"> sur la </w:t>
      </w:r>
      <w:r w:rsidRPr="00BA0004">
        <w:rPr>
          <w:u w:val="single"/>
        </w:rPr>
        <w:t>France entière</w:t>
      </w:r>
    </w:p>
    <w:p w:rsidR="00F5704E" w:rsidRPr="00BA0004" w:rsidRDefault="00F5704E" w:rsidP="00F5704E">
      <w:pPr>
        <w:numPr>
          <w:ilvl w:val="1"/>
          <w:numId w:val="24"/>
        </w:numPr>
      </w:pPr>
      <w:r w:rsidRPr="00BA0004">
        <w:t xml:space="preserve">  </w:t>
      </w:r>
      <w:r w:rsidRPr="00BA0004">
        <w:rPr>
          <w:b/>
          <w:bCs/>
        </w:rPr>
        <w:t xml:space="preserve">Report R3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par </w:t>
      </w:r>
      <w:r w:rsidRPr="00BA0004">
        <w:rPr>
          <w:u w:val="single"/>
        </w:rPr>
        <w:t>département</w:t>
      </w:r>
    </w:p>
    <w:p w:rsidR="00F5704E" w:rsidRPr="00BA0004" w:rsidRDefault="00F5704E" w:rsidP="00F5704E">
      <w:pPr>
        <w:numPr>
          <w:ilvl w:val="1"/>
          <w:numId w:val="24"/>
        </w:numPr>
      </w:pPr>
      <w:r w:rsidRPr="00BA0004">
        <w:t xml:space="preserve"> </w:t>
      </w:r>
      <w:r w:rsidRPr="00BA0004">
        <w:rPr>
          <w:b/>
          <w:bCs/>
        </w:rPr>
        <w:t xml:space="preserve"> Report R4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année</w:t>
      </w:r>
      <w:r w:rsidRPr="00BA0004">
        <w:t xml:space="preserve"> par </w:t>
      </w:r>
      <w:r w:rsidRPr="00BA0004">
        <w:rPr>
          <w:u w:val="single"/>
        </w:rPr>
        <w:t>département</w:t>
      </w:r>
    </w:p>
    <w:p w:rsidR="00F5704E" w:rsidRDefault="00F5704E" w:rsidP="00F5704E">
      <w:bookmarkStart w:id="17" w:name="_Toc426298981"/>
    </w:p>
    <w:p w:rsidR="00F5704E" w:rsidRPr="00BA0004" w:rsidRDefault="00F5704E" w:rsidP="00F5704E">
      <w:pPr>
        <w:pStyle w:val="Titre2"/>
      </w:pPr>
      <w:r>
        <w:t>Reports SSRS p</w:t>
      </w:r>
      <w:r w:rsidRPr="00BA0004">
        <w:t>our les métiers du Marketing</w:t>
      </w:r>
      <w:bookmarkEnd w:id="17"/>
    </w:p>
    <w:p w:rsidR="00F5704E" w:rsidRPr="00BA0004" w:rsidRDefault="00F5704E" w:rsidP="00F5704E">
      <w:r w:rsidRPr="00BA0004">
        <w:t>Evolution</w:t>
      </w:r>
      <w:r w:rsidRPr="00BA0004">
        <w:rPr>
          <w:b/>
          <w:bCs/>
        </w:rPr>
        <w:t xml:space="preserve"> (</w:t>
      </w:r>
      <w:r w:rsidRPr="00BA0004">
        <w:t xml:space="preserve">du volume des ventes) </w:t>
      </w:r>
      <w:r w:rsidRPr="00BA0004">
        <w:sym w:font="Symbol" w:char="F0C4"/>
      </w:r>
      <w:r w:rsidRPr="00BA0004">
        <w:t xml:space="preserve"> (par mois ; par département ; par type de produit)</w:t>
      </w:r>
    </w:p>
    <w:p w:rsidR="00F5704E" w:rsidRPr="00BA0004" w:rsidRDefault="00F5704E" w:rsidP="00F5704E">
      <w:pPr>
        <w:numPr>
          <w:ilvl w:val="1"/>
          <w:numId w:val="25"/>
        </w:numPr>
      </w:pPr>
      <w:r w:rsidRPr="00BA0004">
        <w:rPr>
          <w:b/>
          <w:bCs/>
        </w:rPr>
        <w:t xml:space="preserve">  Report R5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sur la </w:t>
      </w:r>
      <w:r w:rsidRPr="00BA0004">
        <w:rPr>
          <w:u w:val="single"/>
        </w:rPr>
        <w:t>France entière</w:t>
      </w:r>
      <w:r w:rsidRPr="00BA0004">
        <w:t xml:space="preserve"> par </w:t>
      </w:r>
      <w:r w:rsidRPr="00BA0004">
        <w:rPr>
          <w:u w:val="single"/>
        </w:rPr>
        <w:t>rayon de produit</w:t>
      </w:r>
    </w:p>
    <w:p w:rsidR="00F5704E" w:rsidRPr="00BA0004" w:rsidRDefault="00F5704E" w:rsidP="00F5704E">
      <w:pPr>
        <w:numPr>
          <w:ilvl w:val="1"/>
          <w:numId w:val="25"/>
        </w:numPr>
      </w:pPr>
      <w:r w:rsidRPr="00BA0004">
        <w:rPr>
          <w:b/>
          <w:bCs/>
        </w:rPr>
        <w:t xml:space="preserve">  Report R6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sur la </w:t>
      </w:r>
      <w:r w:rsidRPr="00BA0004">
        <w:rPr>
          <w:u w:val="single"/>
        </w:rPr>
        <w:t>France entière</w:t>
      </w:r>
      <w:r w:rsidRPr="00BA0004">
        <w:t xml:space="preserve"> par </w:t>
      </w:r>
      <w:r w:rsidRPr="00BA0004">
        <w:rPr>
          <w:u w:val="single"/>
        </w:rPr>
        <w:t>famille de produit</w:t>
      </w:r>
    </w:p>
    <w:p w:rsidR="00F5704E" w:rsidRPr="00BA0004" w:rsidRDefault="00F5704E" w:rsidP="00F5704E">
      <w:pPr>
        <w:numPr>
          <w:ilvl w:val="1"/>
          <w:numId w:val="25"/>
        </w:numPr>
      </w:pPr>
      <w:r w:rsidRPr="00BA0004">
        <w:lastRenderedPageBreak/>
        <w:t xml:space="preserve">  </w:t>
      </w:r>
      <w:r w:rsidRPr="00BA0004">
        <w:rPr>
          <w:b/>
          <w:bCs/>
        </w:rPr>
        <w:t xml:space="preserve">Report R7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par </w:t>
      </w:r>
      <w:r w:rsidRPr="00BA0004">
        <w:rPr>
          <w:u w:val="single"/>
        </w:rPr>
        <w:t>département</w:t>
      </w:r>
      <w:r w:rsidRPr="00BA0004">
        <w:t xml:space="preserve"> et par </w:t>
      </w:r>
      <w:r w:rsidRPr="00BA0004">
        <w:rPr>
          <w:u w:val="single"/>
        </w:rPr>
        <w:t>rayon de produit</w:t>
      </w:r>
    </w:p>
    <w:p w:rsidR="00F5704E" w:rsidRPr="00BA0004" w:rsidRDefault="00F5704E" w:rsidP="00F5704E">
      <w:pPr>
        <w:numPr>
          <w:ilvl w:val="1"/>
          <w:numId w:val="25"/>
        </w:numPr>
      </w:pPr>
      <w:r w:rsidRPr="00BA0004">
        <w:rPr>
          <w:b/>
          <w:bCs/>
        </w:rPr>
        <w:t xml:space="preserve">  Report R8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par </w:t>
      </w:r>
      <w:r w:rsidRPr="00BA0004">
        <w:rPr>
          <w:u w:val="single"/>
        </w:rPr>
        <w:t>département</w:t>
      </w:r>
      <w:r w:rsidRPr="00BA0004">
        <w:t xml:space="preserve"> et par </w:t>
      </w:r>
      <w:r w:rsidRPr="00BA0004">
        <w:rPr>
          <w:u w:val="single"/>
        </w:rPr>
        <w:t>famille de produit</w:t>
      </w:r>
    </w:p>
    <w:p w:rsidR="00F5704E" w:rsidRPr="00BA0004" w:rsidRDefault="00F5704E" w:rsidP="00F5704E">
      <w:r w:rsidRPr="00BA0004">
        <w:t>Evolution</w:t>
      </w:r>
      <w:r w:rsidRPr="00BA0004">
        <w:rPr>
          <w:b/>
          <w:bCs/>
        </w:rPr>
        <w:t xml:space="preserve"> (</w:t>
      </w:r>
      <w:r w:rsidRPr="00BA0004">
        <w:t xml:space="preserve">du taux de percée) </w:t>
      </w:r>
      <w:r w:rsidRPr="00BA0004">
        <w:sym w:font="Symbol" w:char="F0C4"/>
      </w:r>
      <w:r w:rsidRPr="00BA0004">
        <w:t xml:space="preserve"> (par mois ; par département ; par magasin)</w:t>
      </w:r>
    </w:p>
    <w:p w:rsidR="00F5704E" w:rsidRPr="00BA0004" w:rsidRDefault="00F5704E" w:rsidP="00F5704E">
      <w:pPr>
        <w:numPr>
          <w:ilvl w:val="1"/>
          <w:numId w:val="26"/>
        </w:numPr>
      </w:pPr>
      <w:r w:rsidRPr="00BA0004">
        <w:rPr>
          <w:b/>
          <w:bCs/>
        </w:rPr>
        <w:t xml:space="preserve">  Report R9 </w:t>
      </w:r>
      <w:r w:rsidRPr="00BA0004">
        <w:t xml:space="preserve">: Evolution du </w:t>
      </w:r>
      <w:r w:rsidRPr="00BA0004">
        <w:rPr>
          <w:u w:val="single"/>
        </w:rPr>
        <w:t>taux de percée</w:t>
      </w:r>
      <w:r w:rsidRPr="00BA0004">
        <w:t xml:space="preserve"> </w:t>
      </w:r>
      <w:r w:rsidRPr="00BA0004">
        <w:rPr>
          <w:u w:val="single"/>
        </w:rPr>
        <w:t>par mois</w:t>
      </w:r>
      <w:r w:rsidRPr="00BA0004">
        <w:t xml:space="preserve"> et </w:t>
      </w:r>
      <w:r w:rsidRPr="00BA0004">
        <w:rPr>
          <w:u w:val="single"/>
        </w:rPr>
        <w:t>par magasin</w:t>
      </w:r>
    </w:p>
    <w:p w:rsidR="00F5704E" w:rsidRPr="00BA0004" w:rsidRDefault="00F5704E" w:rsidP="00F5704E">
      <w:pPr>
        <w:numPr>
          <w:ilvl w:val="1"/>
          <w:numId w:val="26"/>
        </w:numPr>
      </w:pPr>
      <w:r w:rsidRPr="00BA0004">
        <w:rPr>
          <w:b/>
          <w:bCs/>
        </w:rPr>
        <w:t xml:space="preserve">  Report R10 </w:t>
      </w:r>
      <w:r w:rsidRPr="00BA0004">
        <w:t xml:space="preserve">: Evolution du </w:t>
      </w:r>
      <w:r w:rsidRPr="00BA0004">
        <w:rPr>
          <w:u w:val="single"/>
        </w:rPr>
        <w:t>taux de percée</w:t>
      </w:r>
      <w:r w:rsidRPr="00BA0004">
        <w:t xml:space="preserve"> </w:t>
      </w:r>
      <w:r w:rsidRPr="00BA0004">
        <w:rPr>
          <w:u w:val="single"/>
        </w:rPr>
        <w:t>par mois</w:t>
      </w:r>
      <w:r w:rsidRPr="00BA0004">
        <w:t xml:space="preserve"> et </w:t>
      </w:r>
      <w:r w:rsidRPr="00BA0004">
        <w:rPr>
          <w:u w:val="single"/>
        </w:rPr>
        <w:t>par département</w:t>
      </w:r>
    </w:p>
    <w:tbl>
      <w:tblPr>
        <w:tblStyle w:val="GridTable6ColorfulAccent1"/>
        <w:tblW w:w="0" w:type="auto"/>
        <w:tblLook w:val="04A0"/>
      </w:tblPr>
      <w:tblGrid>
        <w:gridCol w:w="10606"/>
      </w:tblGrid>
      <w:tr w:rsidR="00F5704E" w:rsidTr="0005525E">
        <w:trPr>
          <w:cnfStyle w:val="100000000000"/>
        </w:trPr>
        <w:tc>
          <w:tcPr>
            <w:cnfStyle w:val="001000000000"/>
            <w:tcW w:w="10606" w:type="dxa"/>
          </w:tcPr>
          <w:p w:rsidR="00F5704E" w:rsidRDefault="00F5704E" w:rsidP="0005525E">
            <w:pPr>
              <w:pStyle w:val="Sous-titre"/>
            </w:pPr>
            <w:r>
              <w:t>Taux de percée</w:t>
            </w:r>
          </w:p>
          <w:p w:rsidR="00F5704E" w:rsidRPr="00253CDA" w:rsidRDefault="00F5704E" w:rsidP="0005525E">
            <w:pPr>
              <w:rPr>
                <w:b w:val="0"/>
              </w:rPr>
            </w:pPr>
            <w:r w:rsidRPr="00253CDA">
              <w:rPr>
                <w:b w:val="0"/>
              </w:rPr>
              <w:t>Sur une période donnée, on le définit comme le % de ratio de la population d’une ville client du magasin sur cette période, par rapport à la population totale de la ville.</w:t>
            </w:r>
          </w:p>
          <w:p w:rsidR="00F5704E" w:rsidRDefault="00F5704E" w:rsidP="0005525E">
            <w:pPr>
              <w:rPr>
                <w:i/>
              </w:rPr>
            </w:pPr>
          </w:p>
          <w:p w:rsidR="00F5704E" w:rsidRPr="00253CDA" w:rsidRDefault="00F5704E" w:rsidP="0005525E">
            <w:pPr>
              <w:rPr>
                <w:b w:val="0"/>
                <w:i/>
              </w:rPr>
            </w:pPr>
            <w:r w:rsidRPr="00253CDA">
              <w:rPr>
                <w:i/>
              </w:rPr>
              <w:t>Exemple</w:t>
            </w:r>
            <w:r w:rsidRPr="00253CDA">
              <w:rPr>
                <w:b w:val="0"/>
                <w:i/>
              </w:rPr>
              <w:t xml:space="preserve"> : Au mois de mai 2015, le magasin de TALENCE a eu 1 234 clients de la ville voisine de PESSAC, qui compte 12 340 habitants. </w:t>
            </w:r>
          </w:p>
          <w:p w:rsidR="00F5704E" w:rsidRDefault="00F5704E" w:rsidP="0005525E">
            <w:r w:rsidRPr="00253CDA">
              <w:rPr>
                <w:b w:val="0"/>
                <w:i/>
              </w:rPr>
              <w:t>Son taux de percée est donc de 10 % en mai 2015.</w:t>
            </w:r>
          </w:p>
        </w:tc>
      </w:tr>
    </w:tbl>
    <w:p w:rsidR="00F5704E" w:rsidRDefault="00F5704E" w:rsidP="00F5704E"/>
    <w:p w:rsidR="00F5704E" w:rsidRDefault="00F5704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F5704E" w:rsidSect="00AE6C2E">
      <w:footerReference w:type="default" r:id="rId14"/>
      <w:pgSz w:w="11906" w:h="16838"/>
      <w:pgMar w:top="720" w:right="720" w:bottom="720" w:left="720" w:header="708" w:footer="1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25E" w:rsidRDefault="0005525E" w:rsidP="007B3889">
      <w:pPr>
        <w:spacing w:after="0" w:line="240" w:lineRule="auto"/>
      </w:pPr>
      <w:r>
        <w:separator/>
      </w:r>
    </w:p>
  </w:endnote>
  <w:endnote w:type="continuationSeparator" w:id="0">
    <w:p w:rsidR="0005525E" w:rsidRDefault="0005525E" w:rsidP="007B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25E" w:rsidRDefault="0005525E" w:rsidP="00AE6C2E">
    <w:pPr>
      <w:pStyle w:val="Pieddepage"/>
      <w:ind w:left="-709"/>
    </w:pPr>
    <w:r w:rsidRPr="00AE6C2E">
      <w:rPr>
        <w:noProof/>
        <w:lang w:eastAsia="fr-FR"/>
      </w:rPr>
      <w:drawing>
        <wp:inline distT="0" distB="0" distL="0" distR="0">
          <wp:extent cx="4211960" cy="358692"/>
          <wp:effectExtent l="19050" t="0" r="0" b="0"/>
          <wp:docPr id="14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1960" cy="3586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zh-CN"/>
      </w:rPr>
      <w:pict>
        <v:rect id="Rectangle 40" o:spid="_x0000_s2049" style="position:absolute;left:0;text-align:left;margin-left:-11.7pt;margin-top:7.15pt;width:47.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" fillcolor="#2e74b5 [2404]" stroked="f" strokeweight="3pt">
          <v:textbox>
            <w:txbxContent>
              <w:p w:rsidR="0005525E" w:rsidRDefault="0005525E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470100">
                  <w:rPr>
                    <w:noProof/>
                    <w:color w:val="FFFFFF" w:themeColor="background1"/>
                    <w:sz w:val="28"/>
                    <w:szCs w:val="28"/>
                  </w:rPr>
                  <w:t>5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25E" w:rsidRDefault="0005525E" w:rsidP="007B3889">
      <w:pPr>
        <w:spacing w:after="0" w:line="240" w:lineRule="auto"/>
      </w:pPr>
      <w:r>
        <w:separator/>
      </w:r>
    </w:p>
  </w:footnote>
  <w:footnote w:type="continuationSeparator" w:id="0">
    <w:p w:rsidR="0005525E" w:rsidRDefault="0005525E" w:rsidP="007B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6F4"/>
    <w:multiLevelType w:val="hybridMultilevel"/>
    <w:tmpl w:val="3894F2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2DA05C7"/>
    <w:multiLevelType w:val="hybridMultilevel"/>
    <w:tmpl w:val="52365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F1550"/>
    <w:multiLevelType w:val="hybridMultilevel"/>
    <w:tmpl w:val="F7CC0086"/>
    <w:lvl w:ilvl="0" w:tplc="A5E6FC3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676CC"/>
    <w:multiLevelType w:val="hybridMultilevel"/>
    <w:tmpl w:val="A9F00BF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C36F00"/>
    <w:multiLevelType w:val="hybridMultilevel"/>
    <w:tmpl w:val="48E2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21C41"/>
    <w:multiLevelType w:val="hybridMultilevel"/>
    <w:tmpl w:val="9D72A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B3207"/>
    <w:multiLevelType w:val="hybridMultilevel"/>
    <w:tmpl w:val="C588640C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7914499"/>
    <w:multiLevelType w:val="hybridMultilevel"/>
    <w:tmpl w:val="BB867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E4ADD"/>
    <w:multiLevelType w:val="hybridMultilevel"/>
    <w:tmpl w:val="56E27532"/>
    <w:lvl w:ilvl="0" w:tplc="C800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47957"/>
    <w:multiLevelType w:val="hybridMultilevel"/>
    <w:tmpl w:val="8E54D80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B284B57"/>
    <w:multiLevelType w:val="hybridMultilevel"/>
    <w:tmpl w:val="1E4ED9F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F127B8F"/>
    <w:multiLevelType w:val="hybridMultilevel"/>
    <w:tmpl w:val="24703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81DD0"/>
    <w:multiLevelType w:val="hybridMultilevel"/>
    <w:tmpl w:val="92CAC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32882"/>
    <w:multiLevelType w:val="hybridMultilevel"/>
    <w:tmpl w:val="92149E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5EE300F"/>
    <w:multiLevelType w:val="hybridMultilevel"/>
    <w:tmpl w:val="F4924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DB610C"/>
    <w:multiLevelType w:val="hybridMultilevel"/>
    <w:tmpl w:val="977CD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F2DF3"/>
    <w:multiLevelType w:val="hybridMultilevel"/>
    <w:tmpl w:val="12C6A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540D3"/>
    <w:multiLevelType w:val="hybridMultilevel"/>
    <w:tmpl w:val="580AF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7711"/>
    <w:multiLevelType w:val="hybridMultilevel"/>
    <w:tmpl w:val="11F08A6A"/>
    <w:lvl w:ilvl="0" w:tplc="994A49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93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68B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AEA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F281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66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40E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053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456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471883"/>
    <w:multiLevelType w:val="hybridMultilevel"/>
    <w:tmpl w:val="FA24DCA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F177D5D"/>
    <w:multiLevelType w:val="hybridMultilevel"/>
    <w:tmpl w:val="438C9C38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0F">
      <w:start w:val="1"/>
      <w:numFmt w:val="decimal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06746C5"/>
    <w:multiLevelType w:val="hybridMultilevel"/>
    <w:tmpl w:val="6756DF18"/>
    <w:lvl w:ilvl="0" w:tplc="1564F4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C3B6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200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09E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A1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E654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6DE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E64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0E3F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6C6BE6"/>
    <w:multiLevelType w:val="hybridMultilevel"/>
    <w:tmpl w:val="92CAC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B0460"/>
    <w:multiLevelType w:val="hybridMultilevel"/>
    <w:tmpl w:val="F426DC6A"/>
    <w:lvl w:ilvl="0" w:tplc="515CCC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5802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6A7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EB7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A6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80B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E5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229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8FB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055D75"/>
    <w:multiLevelType w:val="hybridMultilevel"/>
    <w:tmpl w:val="1B74B7A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7">
      <w:start w:val="1"/>
      <w:numFmt w:val="lowerLetter"/>
      <w:lvlText w:val="%2)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641492C"/>
    <w:multiLevelType w:val="hybridMultilevel"/>
    <w:tmpl w:val="CFF4737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67C0836"/>
    <w:multiLevelType w:val="hybridMultilevel"/>
    <w:tmpl w:val="6F36C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19106A"/>
    <w:multiLevelType w:val="hybridMultilevel"/>
    <w:tmpl w:val="DF02E3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C987C33"/>
    <w:multiLevelType w:val="hybridMultilevel"/>
    <w:tmpl w:val="2158AF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176A5"/>
    <w:multiLevelType w:val="hybridMultilevel"/>
    <w:tmpl w:val="F6A6F5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0CE17CB"/>
    <w:multiLevelType w:val="hybridMultilevel"/>
    <w:tmpl w:val="F0DEF90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0D81BA6"/>
    <w:multiLevelType w:val="hybridMultilevel"/>
    <w:tmpl w:val="EB362C9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1913B73"/>
    <w:multiLevelType w:val="hybridMultilevel"/>
    <w:tmpl w:val="BAB2C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F555A"/>
    <w:multiLevelType w:val="hybridMultilevel"/>
    <w:tmpl w:val="5BD0B90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4BD6F4B"/>
    <w:multiLevelType w:val="hybridMultilevel"/>
    <w:tmpl w:val="BF384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0D3C0A"/>
    <w:multiLevelType w:val="hybridMultilevel"/>
    <w:tmpl w:val="075EE77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669C3FC8"/>
    <w:multiLevelType w:val="hybridMultilevel"/>
    <w:tmpl w:val="2FDED62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67BA2319"/>
    <w:multiLevelType w:val="hybridMultilevel"/>
    <w:tmpl w:val="73BEB4B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C25DF1"/>
    <w:multiLevelType w:val="hybridMultilevel"/>
    <w:tmpl w:val="76FE8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1B66DF"/>
    <w:multiLevelType w:val="hybridMultilevel"/>
    <w:tmpl w:val="65F6F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3709D1"/>
    <w:multiLevelType w:val="hybridMultilevel"/>
    <w:tmpl w:val="ABE897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9"/>
  </w:num>
  <w:num w:numId="5">
    <w:abstractNumId w:val="29"/>
  </w:num>
  <w:num w:numId="6">
    <w:abstractNumId w:val="13"/>
  </w:num>
  <w:num w:numId="7">
    <w:abstractNumId w:val="30"/>
  </w:num>
  <w:num w:numId="8">
    <w:abstractNumId w:val="25"/>
  </w:num>
  <w:num w:numId="9">
    <w:abstractNumId w:val="10"/>
  </w:num>
  <w:num w:numId="10">
    <w:abstractNumId w:val="36"/>
  </w:num>
  <w:num w:numId="11">
    <w:abstractNumId w:val="35"/>
  </w:num>
  <w:num w:numId="12">
    <w:abstractNumId w:val="34"/>
  </w:num>
  <w:num w:numId="13">
    <w:abstractNumId w:val="39"/>
  </w:num>
  <w:num w:numId="14">
    <w:abstractNumId w:val="15"/>
  </w:num>
  <w:num w:numId="15">
    <w:abstractNumId w:val="31"/>
  </w:num>
  <w:num w:numId="16">
    <w:abstractNumId w:val="0"/>
  </w:num>
  <w:num w:numId="17">
    <w:abstractNumId w:val="19"/>
  </w:num>
  <w:num w:numId="18">
    <w:abstractNumId w:val="37"/>
  </w:num>
  <w:num w:numId="19">
    <w:abstractNumId w:val="2"/>
  </w:num>
  <w:num w:numId="20">
    <w:abstractNumId w:val="3"/>
  </w:num>
  <w:num w:numId="21">
    <w:abstractNumId w:val="8"/>
  </w:num>
  <w:num w:numId="22">
    <w:abstractNumId w:val="27"/>
  </w:num>
  <w:num w:numId="23">
    <w:abstractNumId w:val="38"/>
  </w:num>
  <w:num w:numId="24">
    <w:abstractNumId w:val="21"/>
  </w:num>
  <w:num w:numId="25">
    <w:abstractNumId w:val="18"/>
  </w:num>
  <w:num w:numId="26">
    <w:abstractNumId w:val="23"/>
  </w:num>
  <w:num w:numId="27">
    <w:abstractNumId w:val="7"/>
  </w:num>
  <w:num w:numId="28">
    <w:abstractNumId w:val="32"/>
  </w:num>
  <w:num w:numId="29">
    <w:abstractNumId w:val="14"/>
  </w:num>
  <w:num w:numId="30">
    <w:abstractNumId w:val="17"/>
  </w:num>
  <w:num w:numId="31">
    <w:abstractNumId w:val="28"/>
  </w:num>
  <w:num w:numId="32">
    <w:abstractNumId w:val="5"/>
  </w:num>
  <w:num w:numId="33">
    <w:abstractNumId w:val="12"/>
  </w:num>
  <w:num w:numId="34">
    <w:abstractNumId w:val="22"/>
  </w:num>
  <w:num w:numId="35">
    <w:abstractNumId w:val="26"/>
  </w:num>
  <w:num w:numId="36">
    <w:abstractNumId w:val="1"/>
  </w:num>
  <w:num w:numId="37">
    <w:abstractNumId w:val="33"/>
  </w:num>
  <w:num w:numId="38">
    <w:abstractNumId w:val="11"/>
  </w:num>
  <w:num w:numId="39">
    <w:abstractNumId w:val="40"/>
  </w:num>
  <w:num w:numId="40">
    <w:abstractNumId w:val="24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61FC3"/>
    <w:rsid w:val="00001FE5"/>
    <w:rsid w:val="000305D3"/>
    <w:rsid w:val="0005525E"/>
    <w:rsid w:val="00073E14"/>
    <w:rsid w:val="0008674C"/>
    <w:rsid w:val="00090FE1"/>
    <w:rsid w:val="000A152C"/>
    <w:rsid w:val="000C627F"/>
    <w:rsid w:val="000E5446"/>
    <w:rsid w:val="000E7381"/>
    <w:rsid w:val="00110444"/>
    <w:rsid w:val="001363BF"/>
    <w:rsid w:val="00136616"/>
    <w:rsid w:val="00146128"/>
    <w:rsid w:val="0015244D"/>
    <w:rsid w:val="001535FD"/>
    <w:rsid w:val="00163BDC"/>
    <w:rsid w:val="001E48E8"/>
    <w:rsid w:val="001E4C9C"/>
    <w:rsid w:val="001E64D2"/>
    <w:rsid w:val="001F6476"/>
    <w:rsid w:val="002046CE"/>
    <w:rsid w:val="00207140"/>
    <w:rsid w:val="00221F97"/>
    <w:rsid w:val="0022218E"/>
    <w:rsid w:val="00225DEB"/>
    <w:rsid w:val="00253CDA"/>
    <w:rsid w:val="00261FEB"/>
    <w:rsid w:val="00267453"/>
    <w:rsid w:val="00296440"/>
    <w:rsid w:val="002B2DFA"/>
    <w:rsid w:val="002B61F7"/>
    <w:rsid w:val="002D5FFE"/>
    <w:rsid w:val="002E0AFF"/>
    <w:rsid w:val="002F61C4"/>
    <w:rsid w:val="003174A3"/>
    <w:rsid w:val="003534B4"/>
    <w:rsid w:val="003763CF"/>
    <w:rsid w:val="00394042"/>
    <w:rsid w:val="004042FD"/>
    <w:rsid w:val="00470100"/>
    <w:rsid w:val="0047733B"/>
    <w:rsid w:val="004A2437"/>
    <w:rsid w:val="004A6FE1"/>
    <w:rsid w:val="004D369B"/>
    <w:rsid w:val="004E2706"/>
    <w:rsid w:val="004E425F"/>
    <w:rsid w:val="004F62D2"/>
    <w:rsid w:val="00531385"/>
    <w:rsid w:val="005365E6"/>
    <w:rsid w:val="005568E9"/>
    <w:rsid w:val="005911CA"/>
    <w:rsid w:val="00593299"/>
    <w:rsid w:val="005B3CDF"/>
    <w:rsid w:val="005D421A"/>
    <w:rsid w:val="00603836"/>
    <w:rsid w:val="00613457"/>
    <w:rsid w:val="0063769D"/>
    <w:rsid w:val="006555DC"/>
    <w:rsid w:val="00662C09"/>
    <w:rsid w:val="00664DE3"/>
    <w:rsid w:val="006723CF"/>
    <w:rsid w:val="006749A5"/>
    <w:rsid w:val="006840A2"/>
    <w:rsid w:val="00696450"/>
    <w:rsid w:val="006A56FF"/>
    <w:rsid w:val="006B4CBC"/>
    <w:rsid w:val="006C2342"/>
    <w:rsid w:val="006D4F15"/>
    <w:rsid w:val="006D51F4"/>
    <w:rsid w:val="007128D1"/>
    <w:rsid w:val="00721282"/>
    <w:rsid w:val="0072367A"/>
    <w:rsid w:val="007262F1"/>
    <w:rsid w:val="00733DE0"/>
    <w:rsid w:val="00733F35"/>
    <w:rsid w:val="0076246E"/>
    <w:rsid w:val="00765F84"/>
    <w:rsid w:val="007A366D"/>
    <w:rsid w:val="007B3889"/>
    <w:rsid w:val="007C75E4"/>
    <w:rsid w:val="007F1AD7"/>
    <w:rsid w:val="00830726"/>
    <w:rsid w:val="00883E76"/>
    <w:rsid w:val="0089253C"/>
    <w:rsid w:val="008A57A2"/>
    <w:rsid w:val="008D36FB"/>
    <w:rsid w:val="008F46A9"/>
    <w:rsid w:val="008F4981"/>
    <w:rsid w:val="00900DF9"/>
    <w:rsid w:val="0091623A"/>
    <w:rsid w:val="009260D7"/>
    <w:rsid w:val="00951CFA"/>
    <w:rsid w:val="0095710A"/>
    <w:rsid w:val="009755EC"/>
    <w:rsid w:val="00986AD8"/>
    <w:rsid w:val="00992F57"/>
    <w:rsid w:val="009D1A0B"/>
    <w:rsid w:val="009D20D1"/>
    <w:rsid w:val="00A06FC7"/>
    <w:rsid w:val="00A61F25"/>
    <w:rsid w:val="00AE6C2E"/>
    <w:rsid w:val="00AF3CA1"/>
    <w:rsid w:val="00B06643"/>
    <w:rsid w:val="00B14192"/>
    <w:rsid w:val="00B43C96"/>
    <w:rsid w:val="00B475DB"/>
    <w:rsid w:val="00B53892"/>
    <w:rsid w:val="00B65E46"/>
    <w:rsid w:val="00B77B20"/>
    <w:rsid w:val="00BA0004"/>
    <w:rsid w:val="00BC5EC0"/>
    <w:rsid w:val="00BD42F7"/>
    <w:rsid w:val="00BE3AD9"/>
    <w:rsid w:val="00BE6E85"/>
    <w:rsid w:val="00C134C4"/>
    <w:rsid w:val="00C61FC3"/>
    <w:rsid w:val="00CE54EB"/>
    <w:rsid w:val="00CF6743"/>
    <w:rsid w:val="00D7006E"/>
    <w:rsid w:val="00D70115"/>
    <w:rsid w:val="00DC7DE0"/>
    <w:rsid w:val="00DE67FE"/>
    <w:rsid w:val="00E40F21"/>
    <w:rsid w:val="00E460FA"/>
    <w:rsid w:val="00E46DE5"/>
    <w:rsid w:val="00E6399E"/>
    <w:rsid w:val="00E8240B"/>
    <w:rsid w:val="00E92291"/>
    <w:rsid w:val="00EA3136"/>
    <w:rsid w:val="00EA5D49"/>
    <w:rsid w:val="00F1656C"/>
    <w:rsid w:val="00F25435"/>
    <w:rsid w:val="00F5704E"/>
    <w:rsid w:val="00F7228A"/>
    <w:rsid w:val="00F76E3E"/>
    <w:rsid w:val="00FA59BE"/>
    <w:rsid w:val="00FB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FE"/>
  </w:style>
  <w:style w:type="paragraph" w:styleId="Titre1">
    <w:name w:val="heading 1"/>
    <w:basedOn w:val="Normal"/>
    <w:next w:val="Normal"/>
    <w:link w:val="Titre1Car"/>
    <w:uiPriority w:val="9"/>
    <w:qFormat/>
    <w:rsid w:val="00B538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5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889"/>
  </w:style>
  <w:style w:type="paragraph" w:styleId="Pieddepage">
    <w:name w:val="footer"/>
    <w:basedOn w:val="Normal"/>
    <w:link w:val="Pieddepag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889"/>
  </w:style>
  <w:style w:type="character" w:customStyle="1" w:styleId="Titre1Car">
    <w:name w:val="Titre 1 Car"/>
    <w:basedOn w:val="Policepardfaut"/>
    <w:link w:val="Titre1"/>
    <w:uiPriority w:val="9"/>
    <w:rsid w:val="00B538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B538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reCar">
    <w:name w:val="Titre Car"/>
    <w:basedOn w:val="Policepardfaut"/>
    <w:link w:val="Titre"/>
    <w:uiPriority w:val="10"/>
    <w:rsid w:val="00B538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B5389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Sous-titreCar">
    <w:name w:val="Sous-titre Car"/>
    <w:basedOn w:val="Policepardfaut"/>
    <w:link w:val="Sous-titre"/>
    <w:uiPriority w:val="99"/>
    <w:rsid w:val="00B538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104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444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1104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44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1044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44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B61F7"/>
    <w:pPr>
      <w:ind w:left="720"/>
      <w:contextualSpacing/>
    </w:pPr>
  </w:style>
  <w:style w:type="table" w:styleId="Tramemoyenne1-Accent5">
    <w:name w:val="Medium Shading 1 Accent 5"/>
    <w:basedOn w:val="TableauNormal"/>
    <w:uiPriority w:val="63"/>
    <w:rsid w:val="008307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39"/>
    <w:rsid w:val="00726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auNormal"/>
    <w:uiPriority w:val="49"/>
    <w:rsid w:val="00726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Accent1">
    <w:name w:val="List Table 3 Accent 1"/>
    <w:basedOn w:val="TableauNormal"/>
    <w:uiPriority w:val="48"/>
    <w:rsid w:val="00B65E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5DarkAccent1">
    <w:name w:val="Grid Table 5 Dark Accent 1"/>
    <w:basedOn w:val="TableauNormal"/>
    <w:uiPriority w:val="50"/>
    <w:rsid w:val="00B65E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253C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0E5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E3AD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96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62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50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31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69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9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11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44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2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3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net.microsoft.com/en-us/library/ms123477(v=sql.12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hh230848(v=sql.12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E52CA-CFEE-4CAD-864D-E629FA23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10</Pages>
  <Words>2645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oessner</dc:creator>
  <cp:lastModifiedBy>oessner</cp:lastModifiedBy>
  <cp:revision>33</cp:revision>
  <dcterms:created xsi:type="dcterms:W3CDTF">2015-07-23T06:33:00Z</dcterms:created>
  <dcterms:modified xsi:type="dcterms:W3CDTF">2015-08-03T09:10:00Z</dcterms:modified>
</cp:coreProperties>
</file>